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2C3F" w14:textId="77777777" w:rsidR="000C6442" w:rsidRPr="00482FF5" w:rsidRDefault="000C6442" w:rsidP="000C6442">
      <w:pPr>
        <w:spacing w:after="0" w:line="200" w:lineRule="exact"/>
        <w:jc w:val="both"/>
        <w:rPr>
          <w:b/>
          <w:bCs/>
          <w:sz w:val="18"/>
          <w:szCs w:val="18"/>
        </w:rPr>
      </w:pPr>
      <w:r w:rsidRPr="00482FF5">
        <w:rPr>
          <w:b/>
          <w:bCs/>
          <w:sz w:val="18"/>
          <w:szCs w:val="18"/>
        </w:rPr>
        <w:t xml:space="preserve">PLEASE CHECK THE BOXES BELOW FOR THE </w:t>
      </w:r>
      <w:r w:rsidR="00C43AAA" w:rsidRPr="00482FF5">
        <w:rPr>
          <w:b/>
          <w:bCs/>
          <w:sz w:val="18"/>
          <w:szCs w:val="18"/>
        </w:rPr>
        <w:t xml:space="preserve">DESIRED MARKET DATA PRODUCTS. </w:t>
      </w:r>
      <w:r w:rsidRPr="00482FF5">
        <w:rPr>
          <w:b/>
          <w:bCs/>
          <w:sz w:val="18"/>
          <w:szCs w:val="18"/>
        </w:rPr>
        <w:t>USE OF AND ACCESS TO MARKET DATA IS SUBJECT TO THE TERMS AND CONDITIONS OF YOUR END USER AGREEMENT WITH EZE.</w:t>
      </w:r>
    </w:p>
    <w:p w14:paraId="05A73845" w14:textId="77777777" w:rsidR="000C6442" w:rsidRPr="00482FF5" w:rsidRDefault="000C6442" w:rsidP="00340E08">
      <w:pPr>
        <w:spacing w:after="0" w:line="200" w:lineRule="exact"/>
        <w:jc w:val="both"/>
        <w:rPr>
          <w:b/>
          <w:bCs/>
          <w:sz w:val="18"/>
          <w:szCs w:val="18"/>
        </w:rPr>
      </w:pPr>
    </w:p>
    <w:p w14:paraId="7B265833" w14:textId="66129113" w:rsidR="0010591C" w:rsidRPr="00482FF5" w:rsidRDefault="000C6442" w:rsidP="00340E08">
      <w:pPr>
        <w:spacing w:after="0" w:line="200" w:lineRule="exact"/>
        <w:jc w:val="both"/>
        <w:rPr>
          <w:b/>
          <w:bCs/>
          <w:sz w:val="18"/>
          <w:szCs w:val="18"/>
        </w:rPr>
      </w:pPr>
      <w:r w:rsidRPr="00482FF5">
        <w:rPr>
          <w:b/>
          <w:bCs/>
          <w:sz w:val="18"/>
          <w:szCs w:val="18"/>
        </w:rPr>
        <w:t>Fees for all data products</w:t>
      </w:r>
      <w:r w:rsidR="004249AA" w:rsidRPr="00482FF5">
        <w:rPr>
          <w:b/>
          <w:bCs/>
          <w:sz w:val="18"/>
          <w:szCs w:val="18"/>
        </w:rPr>
        <w:t xml:space="preserve"> are determined by the exchanges and other information providers. </w:t>
      </w:r>
      <w:r w:rsidR="00A5035B" w:rsidRPr="00482FF5">
        <w:rPr>
          <w:b/>
          <w:bCs/>
          <w:sz w:val="18"/>
          <w:szCs w:val="18"/>
        </w:rPr>
        <w:t xml:space="preserve">If you are an individual customer, </w:t>
      </w:r>
      <w:proofErr w:type="gramStart"/>
      <w:r w:rsidR="00A5035B" w:rsidRPr="00482FF5">
        <w:rPr>
          <w:b/>
          <w:bCs/>
          <w:sz w:val="18"/>
          <w:szCs w:val="18"/>
        </w:rPr>
        <w:t>in order to</w:t>
      </w:r>
      <w:proofErr w:type="gramEnd"/>
      <w:r w:rsidR="00A5035B" w:rsidRPr="00482FF5">
        <w:rPr>
          <w:b/>
          <w:bCs/>
          <w:sz w:val="18"/>
          <w:szCs w:val="18"/>
        </w:rPr>
        <w:t xml:space="preserve"> qualify as a Non-Professional Subscriber with respect to the receipt of market data, you must comply with the exchange criteria as set forth in the </w:t>
      </w:r>
      <w:r w:rsidR="00E54749" w:rsidRPr="00482FF5">
        <w:rPr>
          <w:b/>
          <w:bCs/>
          <w:sz w:val="18"/>
          <w:szCs w:val="18"/>
        </w:rPr>
        <w:t>EMS</w:t>
      </w:r>
      <w:r w:rsidR="00A5035B" w:rsidRPr="00482FF5">
        <w:rPr>
          <w:b/>
          <w:bCs/>
          <w:sz w:val="18"/>
          <w:szCs w:val="18"/>
        </w:rPr>
        <w:t xml:space="preserve"> Subscriber Agreement Declaration of Non-Professional Status.  </w:t>
      </w:r>
      <w:r w:rsidRPr="00482FF5">
        <w:rPr>
          <w:b/>
          <w:bCs/>
          <w:sz w:val="18"/>
          <w:szCs w:val="18"/>
        </w:rPr>
        <w:t>Fees</w:t>
      </w:r>
      <w:r w:rsidR="004249AA" w:rsidRPr="00482FF5">
        <w:rPr>
          <w:b/>
          <w:bCs/>
          <w:sz w:val="18"/>
          <w:szCs w:val="18"/>
        </w:rPr>
        <w:t xml:space="preserve"> are subject to change at any time without notice</w:t>
      </w:r>
      <w:r w:rsidRPr="00482FF5">
        <w:rPr>
          <w:b/>
          <w:bCs/>
          <w:sz w:val="18"/>
          <w:szCs w:val="18"/>
        </w:rPr>
        <w:t xml:space="preserve"> and </w:t>
      </w:r>
      <w:r w:rsidR="00FD24E8" w:rsidRPr="00482FF5">
        <w:rPr>
          <w:b/>
          <w:bCs/>
          <w:sz w:val="18"/>
          <w:szCs w:val="18"/>
        </w:rPr>
        <w:t xml:space="preserve">may vary according to local exchange rates.  Not all </w:t>
      </w:r>
      <w:r w:rsidR="004D4741" w:rsidRPr="00482FF5">
        <w:rPr>
          <w:b/>
          <w:bCs/>
          <w:sz w:val="18"/>
          <w:szCs w:val="18"/>
        </w:rPr>
        <w:t xml:space="preserve">Eze </w:t>
      </w:r>
      <w:r w:rsidR="00FD24E8" w:rsidRPr="00482FF5">
        <w:rPr>
          <w:b/>
          <w:bCs/>
          <w:sz w:val="18"/>
          <w:szCs w:val="18"/>
        </w:rPr>
        <w:t>EMS</w:t>
      </w:r>
      <w:r w:rsidR="004D4741" w:rsidRPr="00482FF5">
        <w:rPr>
          <w:b/>
          <w:bCs/>
          <w:sz w:val="18"/>
          <w:szCs w:val="18"/>
        </w:rPr>
        <w:t xml:space="preserve"> (formerly </w:t>
      </w:r>
      <w:proofErr w:type="spellStart"/>
      <w:r w:rsidR="004D4741" w:rsidRPr="00482FF5">
        <w:rPr>
          <w:b/>
          <w:bCs/>
          <w:sz w:val="18"/>
          <w:szCs w:val="18"/>
        </w:rPr>
        <w:t>RealTick</w:t>
      </w:r>
      <w:proofErr w:type="spellEnd"/>
      <w:r w:rsidR="004D4741" w:rsidRPr="00482FF5">
        <w:rPr>
          <w:b/>
          <w:bCs/>
          <w:sz w:val="18"/>
          <w:szCs w:val="18"/>
        </w:rPr>
        <w:t xml:space="preserve"> EMS)</w:t>
      </w:r>
      <w:r w:rsidR="00FD24E8" w:rsidRPr="00482FF5">
        <w:rPr>
          <w:b/>
          <w:bCs/>
          <w:sz w:val="18"/>
          <w:szCs w:val="18"/>
        </w:rPr>
        <w:t xml:space="preserve"> features may be available depending on the exchanges’ and other third</w:t>
      </w:r>
      <w:r w:rsidR="001C7702">
        <w:rPr>
          <w:b/>
          <w:bCs/>
          <w:sz w:val="18"/>
          <w:szCs w:val="18"/>
        </w:rPr>
        <w:t>-</w:t>
      </w:r>
      <w:r w:rsidR="00FD24E8" w:rsidRPr="00482FF5">
        <w:rPr>
          <w:b/>
          <w:bCs/>
          <w:sz w:val="18"/>
          <w:szCs w:val="18"/>
        </w:rPr>
        <w:t xml:space="preserve">party </w:t>
      </w:r>
      <w:r w:rsidR="00FD24E8" w:rsidRPr="006036E2">
        <w:rPr>
          <w:b/>
          <w:bCs/>
          <w:sz w:val="18"/>
          <w:szCs w:val="18"/>
        </w:rPr>
        <w:t>data providers’ rules and regulations.</w:t>
      </w:r>
      <w:r w:rsidR="0010591C" w:rsidRPr="006036E2">
        <w:rPr>
          <w:b/>
          <w:bCs/>
          <w:sz w:val="18"/>
          <w:szCs w:val="18"/>
        </w:rPr>
        <w:t xml:space="preserve">  Customers (or the Billing Party), as applicable, pay exchange fees directly to the New York Stock Exchange, OPRA, </w:t>
      </w:r>
      <w:r w:rsidR="00AA212A" w:rsidRPr="006036E2">
        <w:rPr>
          <w:b/>
          <w:bCs/>
          <w:sz w:val="18"/>
          <w:szCs w:val="18"/>
        </w:rPr>
        <w:t>FTSE,</w:t>
      </w:r>
      <w:r w:rsidR="00633983" w:rsidRPr="006036E2">
        <w:rPr>
          <w:b/>
          <w:bCs/>
          <w:sz w:val="18"/>
          <w:szCs w:val="18"/>
        </w:rPr>
        <w:t xml:space="preserve"> </w:t>
      </w:r>
      <w:r w:rsidR="00CE162D" w:rsidRPr="006036E2">
        <w:rPr>
          <w:b/>
          <w:bCs/>
          <w:sz w:val="18"/>
          <w:szCs w:val="18"/>
        </w:rPr>
        <w:t xml:space="preserve">London Stock Exchange (for </w:t>
      </w:r>
      <w:proofErr w:type="spellStart"/>
      <w:r w:rsidR="00633983" w:rsidRPr="006036E2">
        <w:rPr>
          <w:b/>
          <w:bCs/>
          <w:sz w:val="18"/>
          <w:szCs w:val="18"/>
        </w:rPr>
        <w:t>RussellTick</w:t>
      </w:r>
      <w:proofErr w:type="spellEnd"/>
      <w:r w:rsidR="00CE162D" w:rsidRPr="006036E2">
        <w:rPr>
          <w:b/>
          <w:bCs/>
          <w:sz w:val="18"/>
          <w:szCs w:val="18"/>
        </w:rPr>
        <w:t xml:space="preserve"> Index only)</w:t>
      </w:r>
      <w:r w:rsidR="00633983" w:rsidRPr="006036E2">
        <w:rPr>
          <w:b/>
          <w:bCs/>
          <w:sz w:val="18"/>
          <w:szCs w:val="18"/>
        </w:rPr>
        <w:t>, S</w:t>
      </w:r>
      <w:r w:rsidR="005A2E03" w:rsidRPr="006036E2">
        <w:rPr>
          <w:b/>
          <w:bCs/>
          <w:sz w:val="18"/>
          <w:szCs w:val="18"/>
        </w:rPr>
        <w:t>IX</w:t>
      </w:r>
      <w:r w:rsidR="00633983" w:rsidRPr="006036E2">
        <w:rPr>
          <w:b/>
          <w:bCs/>
          <w:sz w:val="18"/>
          <w:szCs w:val="18"/>
        </w:rPr>
        <w:t xml:space="preserve"> Swiss </w:t>
      </w:r>
      <w:r w:rsidR="005A2E03" w:rsidRPr="006036E2">
        <w:rPr>
          <w:b/>
          <w:bCs/>
          <w:sz w:val="18"/>
          <w:szCs w:val="18"/>
        </w:rPr>
        <w:t>Exchange</w:t>
      </w:r>
      <w:r w:rsidR="00627C88" w:rsidRPr="006036E2">
        <w:rPr>
          <w:b/>
          <w:bCs/>
          <w:sz w:val="18"/>
          <w:szCs w:val="18"/>
        </w:rPr>
        <w:t xml:space="preserve"> (for </w:t>
      </w:r>
      <w:r w:rsidR="0028167B" w:rsidRPr="006036E2">
        <w:rPr>
          <w:b/>
          <w:bCs/>
          <w:sz w:val="18"/>
          <w:szCs w:val="18"/>
        </w:rPr>
        <w:t xml:space="preserve">Swiss </w:t>
      </w:r>
      <w:r w:rsidR="00627C88" w:rsidRPr="006036E2">
        <w:rPr>
          <w:b/>
          <w:bCs/>
          <w:sz w:val="18"/>
          <w:szCs w:val="18"/>
        </w:rPr>
        <w:t>Reference Rates only)</w:t>
      </w:r>
      <w:r w:rsidR="003E3C38" w:rsidRPr="006036E2">
        <w:rPr>
          <w:b/>
          <w:bCs/>
          <w:sz w:val="18"/>
          <w:szCs w:val="18"/>
        </w:rPr>
        <w:t>,</w:t>
      </w:r>
      <w:r w:rsidR="00AA212A" w:rsidRPr="006036E2">
        <w:rPr>
          <w:b/>
          <w:bCs/>
          <w:sz w:val="18"/>
          <w:szCs w:val="18"/>
        </w:rPr>
        <w:t xml:space="preserve"> </w:t>
      </w:r>
      <w:r w:rsidR="0010591C" w:rsidRPr="006036E2">
        <w:rPr>
          <w:b/>
          <w:bCs/>
          <w:sz w:val="18"/>
          <w:szCs w:val="18"/>
        </w:rPr>
        <w:t xml:space="preserve">and the Toronto Stock Exchange. Exchange fees </w:t>
      </w:r>
      <w:r w:rsidR="0010591C" w:rsidRPr="00482FF5">
        <w:rPr>
          <w:b/>
          <w:bCs/>
          <w:sz w:val="18"/>
          <w:szCs w:val="18"/>
        </w:rPr>
        <w:t xml:space="preserve">for other exchanges will be collected from Customers, or the </w:t>
      </w:r>
      <w:r w:rsidRPr="00482FF5">
        <w:rPr>
          <w:b/>
          <w:bCs/>
          <w:sz w:val="18"/>
          <w:szCs w:val="18"/>
        </w:rPr>
        <w:t>B</w:t>
      </w:r>
      <w:r w:rsidR="0010591C" w:rsidRPr="00482FF5">
        <w:rPr>
          <w:b/>
          <w:bCs/>
          <w:sz w:val="18"/>
          <w:szCs w:val="18"/>
        </w:rPr>
        <w:t xml:space="preserve">illing </w:t>
      </w:r>
      <w:r w:rsidRPr="00482FF5">
        <w:rPr>
          <w:b/>
          <w:bCs/>
          <w:sz w:val="18"/>
          <w:szCs w:val="18"/>
        </w:rPr>
        <w:t>P</w:t>
      </w:r>
      <w:r w:rsidR="0010591C" w:rsidRPr="00482FF5">
        <w:rPr>
          <w:b/>
          <w:bCs/>
          <w:sz w:val="18"/>
          <w:szCs w:val="18"/>
        </w:rPr>
        <w:t xml:space="preserve">arty, as applicable, by </w:t>
      </w:r>
      <w:r w:rsidR="00E54749" w:rsidRPr="00482FF5">
        <w:rPr>
          <w:b/>
          <w:bCs/>
          <w:sz w:val="18"/>
          <w:szCs w:val="18"/>
        </w:rPr>
        <w:t xml:space="preserve">Eze Castle Software </w:t>
      </w:r>
      <w:r w:rsidR="0010591C" w:rsidRPr="00482FF5">
        <w:rPr>
          <w:b/>
          <w:bCs/>
          <w:sz w:val="18"/>
          <w:szCs w:val="18"/>
        </w:rPr>
        <w:t>for payment to those exchanges.  ** For U.S. residents, only registered broker-</w:t>
      </w:r>
      <w:proofErr w:type="gramStart"/>
      <w:r w:rsidR="0010591C" w:rsidRPr="00482FF5">
        <w:rPr>
          <w:b/>
          <w:bCs/>
          <w:sz w:val="18"/>
          <w:szCs w:val="18"/>
        </w:rPr>
        <w:t>dealers</w:t>
      </w:r>
      <w:proofErr w:type="gramEnd"/>
      <w:r w:rsidR="0010591C" w:rsidRPr="00482FF5">
        <w:rPr>
          <w:b/>
          <w:bCs/>
          <w:sz w:val="18"/>
          <w:szCs w:val="18"/>
        </w:rPr>
        <w:t xml:space="preserve"> and U.S. Institutional Investors (as defined in SEC Rule 15a-6 under the Securities Exchange Act of 1934) may subscribe to TSX Venture </w:t>
      </w:r>
      <w:proofErr w:type="spellStart"/>
      <w:r w:rsidR="0010591C" w:rsidRPr="00482FF5">
        <w:rPr>
          <w:b/>
          <w:bCs/>
          <w:sz w:val="18"/>
          <w:szCs w:val="18"/>
        </w:rPr>
        <w:t>MarketBook</w:t>
      </w:r>
      <w:proofErr w:type="spellEnd"/>
      <w:r w:rsidR="0010591C" w:rsidRPr="00482FF5">
        <w:rPr>
          <w:b/>
          <w:bCs/>
          <w:sz w:val="18"/>
          <w:szCs w:val="18"/>
        </w:rPr>
        <w:t xml:space="preserve"> services.</w:t>
      </w:r>
    </w:p>
    <w:p w14:paraId="09129205" w14:textId="77777777" w:rsidR="000C6442" w:rsidRPr="00CA3186" w:rsidRDefault="000C6442" w:rsidP="00C43AAA">
      <w:pPr>
        <w:spacing w:after="0" w:line="200" w:lineRule="exact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4141" w:tblpY="13"/>
        <w:tblW w:w="0" w:type="auto"/>
        <w:tblLook w:val="0000" w:firstRow="0" w:lastRow="0" w:firstColumn="0" w:lastColumn="0" w:noHBand="0" w:noVBand="0"/>
      </w:tblPr>
      <w:tblGrid>
        <w:gridCol w:w="5211"/>
      </w:tblGrid>
      <w:tr w:rsidR="00C43AAA" w:rsidRPr="00CA3186" w14:paraId="30578456" w14:textId="77777777" w:rsidTr="00C43AAA">
        <w:trPr>
          <w:trHeight w:val="171"/>
        </w:trPr>
        <w:tc>
          <w:tcPr>
            <w:tcW w:w="5211" w:type="dxa"/>
            <w:vAlign w:val="center"/>
          </w:tcPr>
          <w:p w14:paraId="2878761A" w14:textId="77777777" w:rsidR="00C43AAA" w:rsidRPr="00CA3186" w:rsidRDefault="00C43AAA" w:rsidP="00C43AAA">
            <w:pPr>
              <w:spacing w:after="0" w:line="200" w:lineRule="exact"/>
              <w:ind w:left="101"/>
              <w:jc w:val="center"/>
              <w:rPr>
                <w:b/>
                <w:bCs/>
                <w:i/>
              </w:rPr>
            </w:pPr>
            <w:r w:rsidRPr="00CA3186">
              <w:rPr>
                <w:b/>
                <w:bCs/>
                <w:i/>
              </w:rPr>
              <w:t>L1 = Level 1; L2 = Level 2; L1/L2 = Level 1 and Level 2</w:t>
            </w:r>
          </w:p>
        </w:tc>
      </w:tr>
    </w:tbl>
    <w:p w14:paraId="287C9642" w14:textId="77777777" w:rsidR="00340E08" w:rsidRPr="00CA3186" w:rsidRDefault="00340E08" w:rsidP="00C43AAA">
      <w:pPr>
        <w:spacing w:after="0" w:line="160" w:lineRule="exact"/>
        <w:jc w:val="center"/>
        <w:rPr>
          <w:b/>
          <w:bCs/>
          <w:sz w:val="20"/>
          <w:szCs w:val="20"/>
        </w:rPr>
      </w:pPr>
    </w:p>
    <w:p w14:paraId="4E9D3299" w14:textId="77777777" w:rsidR="00340E08" w:rsidRPr="00CA3186" w:rsidRDefault="00340E08" w:rsidP="00C43AAA">
      <w:pPr>
        <w:spacing w:after="0" w:line="160" w:lineRule="exact"/>
        <w:jc w:val="center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811" w:tblpY="3"/>
        <w:tblW w:w="6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81"/>
      </w:tblGrid>
      <w:tr w:rsidR="00DD7F25" w:rsidRPr="00CA3186" w14:paraId="5E8BF06B" w14:textId="77777777" w:rsidTr="00DD7F25">
        <w:trPr>
          <w:trHeight w:val="254"/>
        </w:trPr>
        <w:tc>
          <w:tcPr>
            <w:tcW w:w="6081" w:type="dxa"/>
            <w:shd w:val="clear" w:color="auto" w:fill="D9D9D9" w:themeFill="background1" w:themeFillShade="D9"/>
          </w:tcPr>
          <w:p w14:paraId="7FAB0280" w14:textId="77777777" w:rsidR="00DD7F25" w:rsidRPr="00CA3186" w:rsidRDefault="00DD7F25" w:rsidP="00503620">
            <w:pPr>
              <w:spacing w:line="240" w:lineRule="exact"/>
              <w:ind w:right="-432"/>
              <w:rPr>
                <w:b/>
                <w:sz w:val="21"/>
                <w:szCs w:val="21"/>
              </w:rPr>
            </w:pPr>
            <w:r w:rsidRPr="00CA3186">
              <w:rPr>
                <w:b/>
                <w:sz w:val="21"/>
                <w:szCs w:val="21"/>
              </w:rPr>
              <w:t>AMERICAS SOURCES (North America and South America) (1 Region)</w:t>
            </w:r>
          </w:p>
        </w:tc>
      </w:tr>
    </w:tbl>
    <w:p w14:paraId="399325E4" w14:textId="77777777" w:rsidR="00340E08" w:rsidRPr="00CA3186" w:rsidRDefault="00340E08" w:rsidP="00C43AAA">
      <w:pPr>
        <w:spacing w:after="0" w:line="160" w:lineRule="exact"/>
        <w:jc w:val="center"/>
        <w:rPr>
          <w:b/>
          <w:bCs/>
          <w:sz w:val="20"/>
          <w:szCs w:val="20"/>
        </w:rPr>
      </w:pPr>
    </w:p>
    <w:p w14:paraId="5D2180AE" w14:textId="77777777" w:rsidR="000C6442" w:rsidRPr="00CA3186" w:rsidRDefault="000C6442" w:rsidP="00C43AAA">
      <w:pPr>
        <w:spacing w:after="0" w:line="160" w:lineRule="exact"/>
        <w:jc w:val="center"/>
        <w:rPr>
          <w:b/>
          <w:bCs/>
          <w:sz w:val="20"/>
          <w:szCs w:val="20"/>
        </w:rPr>
      </w:pPr>
    </w:p>
    <w:p w14:paraId="69527FC8" w14:textId="77777777" w:rsidR="000C6442" w:rsidRPr="00CA3186" w:rsidRDefault="000C6442" w:rsidP="00C43AAA">
      <w:pPr>
        <w:spacing w:after="0" w:line="160" w:lineRule="exact"/>
        <w:jc w:val="center"/>
        <w:rPr>
          <w:b/>
          <w:bCs/>
          <w:sz w:val="20"/>
          <w:szCs w:val="20"/>
        </w:rPr>
      </w:pPr>
    </w:p>
    <w:p w14:paraId="1CFCFD11" w14:textId="77777777" w:rsidR="004449E3" w:rsidRPr="00CA3186" w:rsidRDefault="004449E3" w:rsidP="00C43AAA">
      <w:pPr>
        <w:spacing w:line="240" w:lineRule="exact"/>
        <w:ind w:right="-432"/>
        <w:jc w:val="center"/>
        <w:rPr>
          <w:b/>
          <w:sz w:val="21"/>
          <w:szCs w:val="21"/>
        </w:rPr>
        <w:sectPr w:rsidR="004449E3" w:rsidRPr="00CA3186" w:rsidSect="006363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45" w:right="245" w:bottom="245" w:left="245" w:header="144" w:footer="144" w:gutter="0"/>
          <w:cols w:space="720"/>
          <w:docGrid w:linePitch="360"/>
        </w:sectPr>
      </w:pPr>
    </w:p>
    <w:tbl>
      <w:tblPr>
        <w:tblStyle w:val="TableGrid"/>
        <w:tblW w:w="54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80"/>
        <w:gridCol w:w="450"/>
        <w:gridCol w:w="450"/>
        <w:gridCol w:w="720"/>
        <w:gridCol w:w="990"/>
      </w:tblGrid>
      <w:tr w:rsidR="00883F4F" w:rsidRPr="00CA3186" w14:paraId="5850E86B" w14:textId="77777777" w:rsidTr="00C5062E">
        <w:trPr>
          <w:trHeight w:val="20"/>
        </w:trPr>
        <w:tc>
          <w:tcPr>
            <w:tcW w:w="2880" w:type="dxa"/>
            <w:shd w:val="clear" w:color="auto" w:fill="D9D9D9" w:themeFill="background1" w:themeFillShade="D9"/>
            <w:noWrap/>
            <w:vAlign w:val="center"/>
          </w:tcPr>
          <w:p w14:paraId="30852DBF" w14:textId="77389B23" w:rsidR="00883F4F" w:rsidRPr="00CA3186" w:rsidRDefault="00927983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5CEEDF" wp14:editId="41448ABF">
                      <wp:simplePos x="0" y="0"/>
                      <wp:positionH relativeFrom="column">
                        <wp:posOffset>8829675</wp:posOffset>
                      </wp:positionH>
                      <wp:positionV relativeFrom="paragraph">
                        <wp:posOffset>6841490</wp:posOffset>
                      </wp:positionV>
                      <wp:extent cx="171450" cy="152400"/>
                      <wp:effectExtent l="0" t="0" r="19050" b="19050"/>
                      <wp:wrapNone/>
                      <wp:docPr id="16" name="Bev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C69C0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6" o:spid="_x0000_s1026" type="#_x0000_t84" style="position:absolute;margin-left:695.25pt;margin-top:538.7pt;width:13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8BA1E4" wp14:editId="70CEA63B">
                      <wp:simplePos x="0" y="0"/>
                      <wp:positionH relativeFrom="column">
                        <wp:posOffset>8025765</wp:posOffset>
                      </wp:positionH>
                      <wp:positionV relativeFrom="paragraph">
                        <wp:posOffset>5241290</wp:posOffset>
                      </wp:positionV>
                      <wp:extent cx="171450" cy="152400"/>
                      <wp:effectExtent l="0" t="0" r="19050" b="19050"/>
                      <wp:wrapNone/>
                      <wp:docPr id="22" name="Bev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EC7E2" id="Bevel 22" o:spid="_x0000_s1026" type="#_x0000_t84" style="position:absolute;margin-left:631.95pt;margin-top:412.7pt;width:13.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CC0FC2" wp14:editId="298555BA">
                      <wp:simplePos x="0" y="0"/>
                      <wp:positionH relativeFrom="column">
                        <wp:posOffset>8085455</wp:posOffset>
                      </wp:positionH>
                      <wp:positionV relativeFrom="paragraph">
                        <wp:posOffset>5995670</wp:posOffset>
                      </wp:positionV>
                      <wp:extent cx="171450" cy="152400"/>
                      <wp:effectExtent l="0" t="0" r="19050" b="19050"/>
                      <wp:wrapNone/>
                      <wp:docPr id="21" name="Bev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FD775" id="Bevel 21" o:spid="_x0000_s1026" type="#_x0000_t84" style="position:absolute;margin-left:636.65pt;margin-top:472.1pt;width:13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3688A6" wp14:editId="76253E77">
                      <wp:simplePos x="0" y="0"/>
                      <wp:positionH relativeFrom="column">
                        <wp:posOffset>8608695</wp:posOffset>
                      </wp:positionH>
                      <wp:positionV relativeFrom="paragraph">
                        <wp:posOffset>6205220</wp:posOffset>
                      </wp:positionV>
                      <wp:extent cx="171450" cy="152400"/>
                      <wp:effectExtent l="0" t="0" r="19050" b="19050"/>
                      <wp:wrapNone/>
                      <wp:docPr id="15" name="Bev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8C686" id="Bevel 15" o:spid="_x0000_s1026" type="#_x0000_t84" style="position:absolute;margin-left:677.85pt;margin-top:488.6pt;width:13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="00614C2F"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DA464E" wp14:editId="09C7E78B">
                      <wp:simplePos x="0" y="0"/>
                      <wp:positionH relativeFrom="column">
                        <wp:posOffset>8599170</wp:posOffset>
                      </wp:positionH>
                      <wp:positionV relativeFrom="paragraph">
                        <wp:posOffset>5756275</wp:posOffset>
                      </wp:positionV>
                      <wp:extent cx="171450" cy="152400"/>
                      <wp:effectExtent l="0" t="0" r="19050" b="19050"/>
                      <wp:wrapNone/>
                      <wp:docPr id="23" name="Bev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B4F24" id="Bevel 23" o:spid="_x0000_s1026" type="#_x0000_t84" style="position:absolute;margin-left:677.1pt;margin-top:453.25pt;width:13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iUbQ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="00614C2F"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0A84BB" wp14:editId="0F92CD7B">
                      <wp:simplePos x="0" y="0"/>
                      <wp:positionH relativeFrom="column">
                        <wp:posOffset>8512175</wp:posOffset>
                      </wp:positionH>
                      <wp:positionV relativeFrom="paragraph">
                        <wp:posOffset>5253990</wp:posOffset>
                      </wp:positionV>
                      <wp:extent cx="171450" cy="152400"/>
                      <wp:effectExtent l="0" t="0" r="19050" b="19050"/>
                      <wp:wrapNone/>
                      <wp:docPr id="20" name="Bev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3C3C4" id="Bevel 20" o:spid="_x0000_s1026" type="#_x0000_t84" style="position:absolute;margin-left:670.25pt;margin-top:413.7pt;width:13.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" fillcolor="#c0504d [3205]" strokecolor="#622423 [1605]" strokeweight="2pt"/>
                  </w:pict>
                </mc:Fallback>
              </mc:AlternateContent>
            </w:r>
            <w:r w:rsidR="00614C2F"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E1AF78" wp14:editId="26154285">
                      <wp:simplePos x="0" y="0"/>
                      <wp:positionH relativeFrom="column">
                        <wp:posOffset>8757285</wp:posOffset>
                      </wp:positionH>
                      <wp:positionV relativeFrom="paragraph">
                        <wp:posOffset>4646295</wp:posOffset>
                      </wp:positionV>
                      <wp:extent cx="171450" cy="152400"/>
                      <wp:effectExtent l="0" t="0" r="19050" b="19050"/>
                      <wp:wrapNone/>
                      <wp:docPr id="14" name="Bev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7E4A2" id="Bevel 14" o:spid="_x0000_s1026" type="#_x0000_t84" style="position:absolute;margin-left:689.55pt;margin-top:365.8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="00614C2F"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A5BD70" wp14:editId="2961325A">
                      <wp:simplePos x="0" y="0"/>
                      <wp:positionH relativeFrom="column">
                        <wp:posOffset>8150225</wp:posOffset>
                      </wp:positionH>
                      <wp:positionV relativeFrom="paragraph">
                        <wp:posOffset>4227195</wp:posOffset>
                      </wp:positionV>
                      <wp:extent cx="171450" cy="152400"/>
                      <wp:effectExtent l="0" t="0" r="19050" b="19050"/>
                      <wp:wrapNone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E5CB3" id="Bevel 13" o:spid="_x0000_s1026" type="#_x0000_t84" style="position:absolute;margin-left:641.75pt;margin-top:332.85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m9bQ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="00614C2F"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D5772C" wp14:editId="6849899B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3721735</wp:posOffset>
                      </wp:positionV>
                      <wp:extent cx="171450" cy="152400"/>
                      <wp:effectExtent l="0" t="0" r="19050" b="19050"/>
                      <wp:wrapNone/>
                      <wp:docPr id="19" name="Bev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EA517" id="Bevel 19" o:spid="_x0000_s1026" type="#_x0000_t84" style="position:absolute;margin-left:647.7pt;margin-top:293.05pt;width:13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="00614C2F"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30E91B" wp14:editId="376B9CEE">
                      <wp:simplePos x="0" y="0"/>
                      <wp:positionH relativeFrom="column">
                        <wp:posOffset>8341995</wp:posOffset>
                      </wp:positionH>
                      <wp:positionV relativeFrom="paragraph">
                        <wp:posOffset>3268345</wp:posOffset>
                      </wp:positionV>
                      <wp:extent cx="171450" cy="152400"/>
                      <wp:effectExtent l="0" t="0" r="19050" b="19050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CDEAE" id="Bevel 11" o:spid="_x0000_s1026" type="#_x0000_t84" style="position:absolute;margin-left:656.85pt;margin-top:257.35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="00340E08" w:rsidRPr="00CA3186">
              <w:rPr>
                <w:rFonts w:cstheme="minorHAnsi"/>
                <w:b/>
                <w:sz w:val="18"/>
                <w:szCs w:val="18"/>
              </w:rPr>
              <w:t>NAME OF DATA PRODUCT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038D78D" w14:textId="77777777" w:rsidR="00883F4F" w:rsidRPr="00CA3186" w:rsidRDefault="00883F4F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FB1E390" w14:textId="77777777" w:rsidR="00883F4F" w:rsidRPr="00CA3186" w:rsidRDefault="00883F4F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673CCA8" w14:textId="77777777" w:rsidR="00883F4F" w:rsidRPr="00CA3186" w:rsidRDefault="00883F4F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37EF385" w14:textId="77777777" w:rsidR="00883F4F" w:rsidRPr="00CA3186" w:rsidRDefault="00340E08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883F4F" w:rsidRPr="00CA3186" w14:paraId="56EDF34C" w14:textId="77777777" w:rsidTr="00C5062E">
        <w:trPr>
          <w:trHeight w:val="20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32F12611" w14:textId="77777777" w:rsidR="00883F4F" w:rsidRPr="00CA3186" w:rsidRDefault="00883F4F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Brazil Mercantile Exchange </w:t>
            </w:r>
            <w:r w:rsidR="003C3BF2" w:rsidRPr="00CA3186">
              <w:rPr>
                <w:rFonts w:cstheme="minorHAnsi"/>
                <w:b/>
                <w:sz w:val="18"/>
                <w:szCs w:val="18"/>
              </w:rPr>
              <w:t xml:space="preserve">(BMF)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84E21CE" w14:textId="66A09B16" w:rsidR="00883F4F" w:rsidRPr="00CA3186" w:rsidRDefault="00A2652D" w:rsidP="00340E08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873CE8E" w14:textId="77777777" w:rsidR="00883F4F" w:rsidRPr="00CA3186" w:rsidRDefault="00883F4F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DC7D496" w14:textId="1E9BA71A" w:rsidR="00883F4F" w:rsidRPr="00CA3186" w:rsidRDefault="00883F4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6333E67" w14:textId="0981DF55" w:rsidR="00883F4F" w:rsidRPr="00CA3186" w:rsidRDefault="00CA0C27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C3BF2" w:rsidRPr="00CA3186" w14:paraId="50D11933" w14:textId="77777777" w:rsidTr="00C5062E">
        <w:trPr>
          <w:trHeight w:val="20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019B8A72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Bovespa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Resident</w:t>
            </w:r>
            <w:r w:rsidR="00F55044" w:rsidRPr="00CA3186">
              <w:rPr>
                <w:rFonts w:cstheme="minorHAnsi"/>
                <w:b/>
                <w:sz w:val="18"/>
                <w:szCs w:val="18"/>
              </w:rPr>
              <w:t xml:space="preserve"> (BOV)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71AF71A" w14:textId="77777777" w:rsidR="003C3BF2" w:rsidRPr="00CA3186" w:rsidRDefault="00614C2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086896B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452C587" w14:textId="196228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670CF65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675BEF" w:rsidRPr="00CA3186">
              <w:rPr>
                <w:rFonts w:cstheme="minorHAnsi"/>
                <w:b/>
                <w:sz w:val="16"/>
                <w:szCs w:val="16"/>
              </w:rPr>
              <w:t>(L1)</w:t>
            </w:r>
          </w:p>
        </w:tc>
      </w:tr>
      <w:tr w:rsidR="003C3BF2" w:rsidRPr="00CA3186" w14:paraId="28BB31AA" w14:textId="77777777" w:rsidTr="00C5062E">
        <w:trPr>
          <w:trHeight w:val="20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00C0AC9F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Bovespa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Non Resident</w:t>
            </w:r>
            <w:proofErr w:type="gramEnd"/>
            <w:r w:rsidR="00F55044" w:rsidRPr="00CA3186">
              <w:rPr>
                <w:rFonts w:cstheme="minorHAnsi"/>
                <w:b/>
                <w:sz w:val="18"/>
                <w:szCs w:val="18"/>
              </w:rPr>
              <w:t xml:space="preserve"> (BOV)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AAB033C" w14:textId="77777777" w:rsidR="003C3BF2" w:rsidRPr="00CA3186" w:rsidRDefault="00614C2F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DA80CD6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3012C50" w14:textId="77777777" w:rsidR="003C3BF2" w:rsidRPr="00CA3186" w:rsidRDefault="00614C2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F0D9FE0" w14:textId="77777777" w:rsidR="003C3BF2" w:rsidRPr="00CA3186" w:rsidRDefault="00614C2F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="00675BEF"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D603F3" w:rsidRPr="00CA3186" w14:paraId="0296FF01" w14:textId="77777777" w:rsidTr="00C5062E">
        <w:trPr>
          <w:trHeight w:val="20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306D16B5" w14:textId="77777777" w:rsidR="00D603F3" w:rsidRPr="00CA3186" w:rsidRDefault="00D603F3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BMV Bolsa Mexicana de </w:t>
            </w:r>
            <w:proofErr w:type="spellStart"/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Valores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gramEnd"/>
            <w:r w:rsidR="00F9172F" w:rsidRPr="00CA3186">
              <w:rPr>
                <w:rFonts w:cstheme="minorHAnsi"/>
                <w:b/>
                <w:sz w:val="18"/>
                <w:szCs w:val="18"/>
              </w:rPr>
              <w:t>MEX)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40CF053" w14:textId="77777777" w:rsidR="00D603F3" w:rsidRPr="00CA3186" w:rsidRDefault="00D603F3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F6C806F" w14:textId="77777777" w:rsidR="00D603F3" w:rsidRPr="00CA3186" w:rsidRDefault="00D603F3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0880BD2" w14:textId="77777777" w:rsidR="00D603F3" w:rsidRPr="00CA3186" w:rsidRDefault="00D603F3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E3A6DE6" w14:textId="77777777" w:rsidR="00D603F3" w:rsidRPr="00CA3186" w:rsidRDefault="00D603F3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220754" w:rsidRPr="00CA3186" w14:paraId="1700859F" w14:textId="77777777" w:rsidTr="00C5062E">
        <w:trPr>
          <w:trHeight w:val="251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3D64AC73" w14:textId="2A22C5A0" w:rsidR="00220754" w:rsidRPr="00CA3186" w:rsidRDefault="00220754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Canadian Securities Exchange (CNX)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A388F5E" w14:textId="392C1D18" w:rsidR="00220754" w:rsidRPr="00CA3186" w:rsidRDefault="00220754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6E0EFF3" w14:textId="77777777" w:rsidR="00220754" w:rsidRPr="00CA3186" w:rsidRDefault="00220754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E621F36" w14:textId="77777777" w:rsidR="00220754" w:rsidRPr="00CA3186" w:rsidRDefault="00220754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541D9A" w14:textId="3493B287" w:rsidR="00220754" w:rsidRPr="00CA3186" w:rsidRDefault="00220754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A05D7" w:rsidRPr="00CA3186" w14:paraId="37B7DC4D" w14:textId="77777777" w:rsidTr="00CA05D7">
        <w:trPr>
          <w:trHeight w:val="251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71A72A7E" w14:textId="3B5693E4" w:rsidR="00CA05D7" w:rsidRDefault="00CA05D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CBOE BZX Level 2 (BZX)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51613CB" w14:textId="77777777" w:rsidR="00CA05D7" w:rsidRPr="00CA3186" w:rsidRDefault="00CA05D7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B021B81" w14:textId="345A6A2C" w:rsidR="00CA05D7" w:rsidRPr="00CA3186" w:rsidRDefault="00CA05D7" w:rsidP="00340E08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AE5E5A7" w14:textId="77777777" w:rsidR="00CA05D7" w:rsidRPr="00CA3186" w:rsidRDefault="00CA05D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0A7FD94" w14:textId="77777777" w:rsidR="00CA05D7" w:rsidRPr="00CA3186" w:rsidRDefault="00CA05D7" w:rsidP="00126CF6">
            <w:pPr>
              <w:spacing w:line="280" w:lineRule="exact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A05D7" w:rsidRPr="00CA3186" w14:paraId="3DD07AB9" w14:textId="77777777" w:rsidTr="00CA05D7">
        <w:trPr>
          <w:trHeight w:val="251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550C7719" w14:textId="7FCD603B" w:rsidR="00CA05D7" w:rsidRDefault="00CA05D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CBOE Edge X Level 2 (EGX)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A41CADA" w14:textId="77777777" w:rsidR="00CA05D7" w:rsidRPr="00CA3186" w:rsidRDefault="00CA05D7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910060E" w14:textId="033017E6" w:rsidR="00CA05D7" w:rsidRPr="00CA3186" w:rsidRDefault="00CA05D7" w:rsidP="00340E08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6C52066" w14:textId="77777777" w:rsidR="00CA05D7" w:rsidRPr="00CA3186" w:rsidRDefault="00CA05D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378D6AD" w14:textId="77777777" w:rsidR="00CA05D7" w:rsidRPr="00CA3186" w:rsidRDefault="00CA05D7" w:rsidP="00126CF6">
            <w:pPr>
              <w:spacing w:line="280" w:lineRule="exact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3BF2" w:rsidRPr="00CA3186" w14:paraId="7C95E509" w14:textId="77777777" w:rsidTr="00C5062E">
        <w:trPr>
          <w:trHeight w:val="251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75C172CC" w14:textId="77777777" w:rsidR="00B57074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CBOE Futures Exchange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(CFE)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95DE71D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277F669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F3500CD" w14:textId="77777777" w:rsidR="003C3BF2" w:rsidRPr="00CA3186" w:rsidRDefault="00614C2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F6C661A" w14:textId="77777777" w:rsidR="003C3BF2" w:rsidRPr="00CA3186" w:rsidRDefault="00675BEF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2331D1" w:rsidRPr="00CA3186" w14:paraId="4F7F43B5" w14:textId="77777777" w:rsidTr="00C5062E">
        <w:trPr>
          <w:trHeight w:val="20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1D807233" w14:textId="4D445DA4" w:rsidR="002331D1" w:rsidRPr="00CA3186" w:rsidRDefault="002331D1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CBOT Mini Data Package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>(CBM)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3A9BF9B" w14:textId="77777777" w:rsidR="002331D1" w:rsidRPr="00CA3186" w:rsidRDefault="002331D1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228762D" w14:textId="77777777" w:rsidR="002331D1" w:rsidRPr="00CA3186" w:rsidRDefault="002331D1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4A6028" w14:textId="77777777" w:rsidR="002331D1" w:rsidRPr="00CA3186" w:rsidRDefault="002331D1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157C721" w14:textId="77777777" w:rsidR="002331D1" w:rsidRPr="00CA3186" w:rsidRDefault="002331D1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3C3BF2" w:rsidRPr="00CA3186" w14:paraId="0C46BC4A" w14:textId="77777777" w:rsidTr="00126CF6">
        <w:trPr>
          <w:trHeight w:val="285"/>
        </w:trPr>
        <w:tc>
          <w:tcPr>
            <w:tcW w:w="2880" w:type="dxa"/>
            <w:shd w:val="clear" w:color="auto" w:fill="FFFFFF" w:themeFill="background1"/>
            <w:noWrap/>
            <w:vAlign w:val="center"/>
          </w:tcPr>
          <w:p w14:paraId="6055675F" w14:textId="77777777" w:rsidR="005B2C2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CBOT Market Dep</w:t>
            </w:r>
            <w:r w:rsidR="005B2C22" w:rsidRPr="00CA3186">
              <w:rPr>
                <w:rFonts w:cstheme="minorHAnsi"/>
                <w:b/>
                <w:sz w:val="18"/>
                <w:szCs w:val="18"/>
              </w:rPr>
              <w:t>th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(CBT)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76B8193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256CAFC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6B5CC35" w14:textId="77777777" w:rsidR="003C3BF2" w:rsidRPr="00CA3186" w:rsidRDefault="00664735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76802F9" w14:textId="4BB9B3CF" w:rsidR="003C3BF2" w:rsidRPr="00CA3186" w:rsidRDefault="00A2652D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(L1/2)</w:t>
            </w:r>
          </w:p>
        </w:tc>
      </w:tr>
      <w:tr w:rsidR="003C3BF2" w:rsidRPr="00CA3186" w14:paraId="6670412F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10B20E58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CBOT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Non Pro</w:t>
            </w:r>
            <w:proofErr w:type="gramEnd"/>
            <w:r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>(CBT)</w:t>
            </w:r>
          </w:p>
        </w:tc>
        <w:tc>
          <w:tcPr>
            <w:tcW w:w="450" w:type="dxa"/>
            <w:vAlign w:val="center"/>
          </w:tcPr>
          <w:p w14:paraId="19DD06EF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F5FC4CE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80E05B4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FD8F53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3C3BF2" w:rsidRPr="00CA3186" w14:paraId="6623B5E7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7B81A6B3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CME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Non Pro</w:t>
            </w:r>
            <w:proofErr w:type="gramEnd"/>
            <w:r w:rsidRPr="00CA3186">
              <w:rPr>
                <w:rFonts w:cstheme="minorHAnsi"/>
                <w:b/>
                <w:sz w:val="18"/>
                <w:szCs w:val="18"/>
              </w:rPr>
              <w:t xml:space="preserve"> Bundled (CME/CBT/CMX/NYX)</w:t>
            </w:r>
            <w:r w:rsidR="007F4D9D">
              <w:rPr>
                <w:rFonts w:cstheme="minorHAnsi"/>
                <w:b/>
                <w:sz w:val="18"/>
                <w:szCs w:val="18"/>
              </w:rPr>
              <w:t xml:space="preserve"> (CMG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37E5202E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C1067FD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724899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5800CE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3C3BF2" w:rsidRPr="00CA3186" w14:paraId="6DAED7DB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03063B4F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CME Full Service (Pit, GLOBEX, E-mini)</w:t>
            </w:r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2331D1" w:rsidRPr="00CA3186">
              <w:rPr>
                <w:rFonts w:cstheme="minorHAnsi"/>
                <w:b/>
                <w:sz w:val="18"/>
                <w:szCs w:val="18"/>
              </w:rPr>
              <w:t>Level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 (</w:t>
            </w:r>
            <w:proofErr w:type="gramEnd"/>
            <w:r w:rsidR="00F9172F" w:rsidRPr="00CA3186">
              <w:rPr>
                <w:rFonts w:cstheme="minorHAnsi"/>
                <w:b/>
                <w:sz w:val="18"/>
                <w:szCs w:val="18"/>
              </w:rPr>
              <w:t>CME)</w:t>
            </w:r>
          </w:p>
        </w:tc>
        <w:tc>
          <w:tcPr>
            <w:tcW w:w="450" w:type="dxa"/>
            <w:vAlign w:val="center"/>
          </w:tcPr>
          <w:p w14:paraId="211DF7C1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5B6677B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ACA54A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4DC5ED" w14:textId="585B0CD9" w:rsidR="003C3BF2" w:rsidRPr="00CA3186" w:rsidRDefault="002F002C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C3BF2" w:rsidRPr="00CA3186" w14:paraId="5F05DCD9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679BE6B1" w14:textId="52C9288E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CME E-mini</w:t>
            </w:r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Level</w:t>
            </w:r>
            <w:proofErr w:type="gramStart"/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 (</w:t>
            </w:r>
            <w:proofErr w:type="gramEnd"/>
            <w:r w:rsidR="00F9172F" w:rsidRPr="00CA3186">
              <w:rPr>
                <w:rFonts w:cstheme="minorHAnsi"/>
                <w:b/>
                <w:sz w:val="18"/>
                <w:szCs w:val="18"/>
              </w:rPr>
              <w:t>FRE)</w:t>
            </w:r>
          </w:p>
        </w:tc>
        <w:tc>
          <w:tcPr>
            <w:tcW w:w="450" w:type="dxa"/>
            <w:vAlign w:val="center"/>
          </w:tcPr>
          <w:p w14:paraId="62EDF123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D48A793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51A6C4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778A6B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8163FF" w:rsidRPr="00CA3186" w14:paraId="0DF85C0E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7EF65096" w14:textId="77777777" w:rsidR="008163FF" w:rsidRPr="00CA3186" w:rsidRDefault="003E5461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Colombian Stock</w:t>
            </w:r>
            <w:r w:rsidR="008163FF">
              <w:rPr>
                <w:rFonts w:cstheme="minorHAnsi"/>
                <w:b/>
                <w:sz w:val="18"/>
                <w:szCs w:val="18"/>
              </w:rPr>
              <w:t xml:space="preserve"> Exchange (COL)</w:t>
            </w:r>
          </w:p>
        </w:tc>
        <w:tc>
          <w:tcPr>
            <w:tcW w:w="450" w:type="dxa"/>
            <w:vAlign w:val="center"/>
          </w:tcPr>
          <w:p w14:paraId="4A7E8FF0" w14:textId="77777777" w:rsidR="008163FF" w:rsidRPr="00CA3186" w:rsidRDefault="008163F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464D75B" w14:textId="77777777" w:rsidR="008163FF" w:rsidRPr="00CA3186" w:rsidRDefault="008163FF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BA6B0D9" w14:textId="77777777" w:rsidR="008163FF" w:rsidRPr="00CA3186" w:rsidRDefault="008163FF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4DB592A" w14:textId="77777777" w:rsidR="008163FF" w:rsidRPr="00CA3186" w:rsidRDefault="008163FF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E27635" w:rsidRPr="00CA3186" w14:paraId="7BC746BF" w14:textId="77777777" w:rsidTr="00C5062E">
        <w:trPr>
          <w:trHeight w:val="20"/>
        </w:trPr>
        <w:tc>
          <w:tcPr>
            <w:tcW w:w="2880" w:type="dxa"/>
            <w:shd w:val="clear" w:color="auto" w:fill="auto"/>
            <w:noWrap/>
            <w:vAlign w:val="center"/>
          </w:tcPr>
          <w:p w14:paraId="0BF0369E" w14:textId="77777777" w:rsidR="00E27635" w:rsidRPr="00CA3186" w:rsidRDefault="00E27635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COMEX Full Set (Pit, Elec, E-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 xml:space="preserve">mini)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gramEnd"/>
            <w:r w:rsidR="00F9172F" w:rsidRPr="00CA3186">
              <w:rPr>
                <w:rFonts w:cstheme="minorHAnsi"/>
                <w:b/>
                <w:sz w:val="18"/>
                <w:szCs w:val="18"/>
              </w:rPr>
              <w:t>CXP)</w:t>
            </w:r>
          </w:p>
        </w:tc>
        <w:tc>
          <w:tcPr>
            <w:tcW w:w="450" w:type="dxa"/>
            <w:vAlign w:val="center"/>
          </w:tcPr>
          <w:p w14:paraId="196C0159" w14:textId="77777777" w:rsidR="00E27635" w:rsidRPr="00CA3186" w:rsidRDefault="00E27635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F7C84C7" w14:textId="77777777" w:rsidR="00E27635" w:rsidRPr="00CA3186" w:rsidRDefault="00E27635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6FEB124" w14:textId="77777777" w:rsidR="00E27635" w:rsidRPr="00CA3186" w:rsidRDefault="00614C2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DE8CAB" w14:textId="3808C8E9" w:rsidR="00E27635" w:rsidRPr="00CA3186" w:rsidRDefault="002F002C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C3BF2" w:rsidRPr="00CA3186" w14:paraId="561CC548" w14:textId="77777777" w:rsidTr="00C5062E">
        <w:trPr>
          <w:trHeight w:val="161"/>
        </w:trPr>
        <w:tc>
          <w:tcPr>
            <w:tcW w:w="2880" w:type="dxa"/>
            <w:noWrap/>
            <w:vAlign w:val="center"/>
          </w:tcPr>
          <w:p w14:paraId="26F20A4B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COMEX E-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mini</w:t>
            </w:r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Level</w:t>
            </w:r>
            <w:proofErr w:type="gramEnd"/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>(CEM)</w:t>
            </w:r>
          </w:p>
        </w:tc>
        <w:tc>
          <w:tcPr>
            <w:tcW w:w="450" w:type="dxa"/>
            <w:vAlign w:val="center"/>
          </w:tcPr>
          <w:p w14:paraId="2E81B14B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07B601D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8231884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7073F1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3C3BF2" w:rsidRPr="00CA3186" w14:paraId="44BBEE39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28C9481B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COMEX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Non Pro</w:t>
            </w:r>
            <w:proofErr w:type="gramEnd"/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Level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(CXP)</w:t>
            </w:r>
          </w:p>
        </w:tc>
        <w:tc>
          <w:tcPr>
            <w:tcW w:w="450" w:type="dxa"/>
            <w:vAlign w:val="center"/>
          </w:tcPr>
          <w:p w14:paraId="4CDFEB54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553E635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EB36049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81B2FB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3C3BF2" w:rsidRPr="00CA3186" w14:paraId="2DB0DF8A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78AECC89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NYMEX Full Set (Pit, Elec, E-mini) </w:t>
            </w:r>
            <w:proofErr w:type="gramStart"/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Level </w:t>
            </w:r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gramEnd"/>
            <w:r w:rsidR="00F9172F" w:rsidRPr="00CA3186">
              <w:rPr>
                <w:rFonts w:cstheme="minorHAnsi"/>
                <w:b/>
                <w:sz w:val="18"/>
                <w:szCs w:val="18"/>
              </w:rPr>
              <w:t>NXP)</w:t>
            </w:r>
          </w:p>
        </w:tc>
        <w:tc>
          <w:tcPr>
            <w:tcW w:w="450" w:type="dxa"/>
            <w:vAlign w:val="center"/>
          </w:tcPr>
          <w:p w14:paraId="64E98DB7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EEE9FB0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3710697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16BF2D" w14:textId="44105196" w:rsidR="003C3BF2" w:rsidRPr="00CA3186" w:rsidRDefault="002F002C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C3BF2" w:rsidRPr="00CA3186" w14:paraId="453996F0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757C81D4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NYMEX E-Mini Only</w:t>
            </w:r>
            <w:r w:rsidR="002331D1"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C51A1" w:rsidRPr="00CA3186">
              <w:rPr>
                <w:rFonts w:cstheme="minorHAnsi"/>
                <w:b/>
                <w:sz w:val="18"/>
                <w:szCs w:val="18"/>
              </w:rPr>
              <w:t>(NYF)</w:t>
            </w:r>
          </w:p>
        </w:tc>
        <w:tc>
          <w:tcPr>
            <w:tcW w:w="450" w:type="dxa"/>
            <w:vAlign w:val="center"/>
          </w:tcPr>
          <w:p w14:paraId="448D93E8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67008B8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30B41BB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E54FF7" w14:textId="56617D9E" w:rsidR="003C3BF2" w:rsidRPr="00CA3186" w:rsidRDefault="008C51A1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C3BF2" w:rsidRPr="00CA3186" w14:paraId="05A693A3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4D6057B8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NYMEX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Non Pro</w:t>
            </w:r>
            <w:proofErr w:type="gramEnd"/>
            <w:r w:rsidR="00F9172F" w:rsidRPr="00CA3186">
              <w:rPr>
                <w:rFonts w:cstheme="minorHAnsi"/>
                <w:b/>
                <w:sz w:val="18"/>
                <w:szCs w:val="18"/>
              </w:rPr>
              <w:t xml:space="preserve"> (NYM)</w:t>
            </w:r>
          </w:p>
        </w:tc>
        <w:tc>
          <w:tcPr>
            <w:tcW w:w="450" w:type="dxa"/>
            <w:vAlign w:val="center"/>
          </w:tcPr>
          <w:p w14:paraId="04120238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1EBBFB0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259643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023B38" w14:textId="77777777" w:rsidR="003C3BF2" w:rsidRPr="00CA3186" w:rsidRDefault="003C3BF2" w:rsidP="00126CF6">
            <w:pPr>
              <w:spacing w:line="28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D520D" w:rsidRPr="00CA3186" w14:paraId="20972D2B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627A81D8" w14:textId="77777777" w:rsidR="00CD520D" w:rsidRPr="00CA3186" w:rsidRDefault="00CD520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GICS (Global Industry Classification Standard –Symbology)</w:t>
            </w:r>
          </w:p>
        </w:tc>
        <w:tc>
          <w:tcPr>
            <w:tcW w:w="450" w:type="dxa"/>
            <w:vAlign w:val="center"/>
          </w:tcPr>
          <w:p w14:paraId="10D42D10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6D18060" w14:textId="77777777" w:rsidR="00CD520D" w:rsidRPr="00CA3186" w:rsidRDefault="00CD520D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E36BA3E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93AE6C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C3BF2" w:rsidRPr="00CA3186" w14:paraId="3E573C30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62AC8C7B" w14:textId="77777777" w:rsidR="003C3BF2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ISE Spreads Book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(ISC)</w:t>
            </w:r>
          </w:p>
        </w:tc>
        <w:tc>
          <w:tcPr>
            <w:tcW w:w="450" w:type="dxa"/>
            <w:vAlign w:val="center"/>
          </w:tcPr>
          <w:p w14:paraId="10963DED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ED26E82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9E66106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24D6F5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C1D17" w:rsidRPr="00CA3186" w14:paraId="117254E2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33ACC658" w14:textId="77777777" w:rsidR="002C1D17" w:rsidRPr="00CA3186" w:rsidRDefault="002C1D1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Lima Stock Exchange (LIM)</w:t>
            </w:r>
          </w:p>
        </w:tc>
        <w:tc>
          <w:tcPr>
            <w:tcW w:w="450" w:type="dxa"/>
            <w:vAlign w:val="center"/>
          </w:tcPr>
          <w:p w14:paraId="0641EDB2" w14:textId="77777777" w:rsidR="002C1D17" w:rsidRPr="00CA3186" w:rsidRDefault="002C1D1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A488355" w14:textId="77777777" w:rsidR="002C1D17" w:rsidRPr="00CA3186" w:rsidRDefault="002C1D17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E31A2A" w14:textId="77777777" w:rsidR="002C1D17" w:rsidRPr="00CA3186" w:rsidRDefault="002C1D17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6F7F45" w14:textId="77777777" w:rsidR="002C1D17" w:rsidRPr="00CA3186" w:rsidRDefault="002C1D1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3C3BF2" w:rsidRPr="00CA3186" w14:paraId="7BBF7BE8" w14:textId="77777777" w:rsidTr="00C5062E">
        <w:trPr>
          <w:trHeight w:val="377"/>
        </w:trPr>
        <w:tc>
          <w:tcPr>
            <w:tcW w:w="2880" w:type="dxa"/>
            <w:noWrap/>
            <w:vAlign w:val="center"/>
          </w:tcPr>
          <w:p w14:paraId="6A2F1B45" w14:textId="77777777" w:rsidR="00B57074" w:rsidRPr="00CA3186" w:rsidRDefault="003C3BF2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Montréal Exchange Futures and Options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(MO</w:t>
            </w:r>
            <w:r w:rsidR="008C51A1" w:rsidRPr="00CA3186">
              <w:rPr>
                <w:rFonts w:cstheme="minorHAnsi"/>
                <w:b/>
                <w:sz w:val="18"/>
                <w:szCs w:val="18"/>
              </w:rPr>
              <w:t>N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2C36169C" w14:textId="78AAAF92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20E31C5" w14:textId="77777777" w:rsidR="003C3BF2" w:rsidRPr="00CA3186" w:rsidRDefault="003C3BF2" w:rsidP="00340E08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59816E6" w14:textId="77777777" w:rsidR="003C3BF2" w:rsidRPr="00CA3186" w:rsidRDefault="00614C2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B36893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57AA7" w:rsidRPr="00CA3186" w14:paraId="7A25F96C" w14:textId="77777777" w:rsidTr="00C5062E">
        <w:trPr>
          <w:trHeight w:val="20"/>
        </w:trPr>
        <w:tc>
          <w:tcPr>
            <w:tcW w:w="2880" w:type="dxa"/>
            <w:shd w:val="clear" w:color="auto" w:fill="D9D9D9" w:themeFill="background1" w:themeFillShade="D9"/>
            <w:noWrap/>
            <w:vAlign w:val="center"/>
          </w:tcPr>
          <w:p w14:paraId="7C016F6F" w14:textId="77777777" w:rsidR="00657AA7" w:rsidRPr="00CA3186" w:rsidRDefault="00657AA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08FDDC" wp14:editId="15FF9826">
                      <wp:simplePos x="0" y="0"/>
                      <wp:positionH relativeFrom="column">
                        <wp:posOffset>8829675</wp:posOffset>
                      </wp:positionH>
                      <wp:positionV relativeFrom="paragraph">
                        <wp:posOffset>6841490</wp:posOffset>
                      </wp:positionV>
                      <wp:extent cx="171450" cy="152400"/>
                      <wp:effectExtent l="0" t="0" r="19050" b="19050"/>
                      <wp:wrapNone/>
                      <wp:docPr id="26" name="Bev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08C80" id="Bevel 26" o:spid="_x0000_s1026" type="#_x0000_t84" style="position:absolute;margin-left:695.25pt;margin-top:538.7pt;width:13.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97C9844" wp14:editId="0BEA0D7F">
                      <wp:simplePos x="0" y="0"/>
                      <wp:positionH relativeFrom="column">
                        <wp:posOffset>8025765</wp:posOffset>
                      </wp:positionH>
                      <wp:positionV relativeFrom="paragraph">
                        <wp:posOffset>5241290</wp:posOffset>
                      </wp:positionV>
                      <wp:extent cx="171450" cy="152400"/>
                      <wp:effectExtent l="0" t="0" r="19050" b="19050"/>
                      <wp:wrapNone/>
                      <wp:docPr id="27" name="Bev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6B4F0" id="Bevel 27" o:spid="_x0000_s1026" type="#_x0000_t84" style="position:absolute;margin-left:631.95pt;margin-top:412.7pt;width:13.5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147BBB" wp14:editId="05DB906D">
                      <wp:simplePos x="0" y="0"/>
                      <wp:positionH relativeFrom="column">
                        <wp:posOffset>8085455</wp:posOffset>
                      </wp:positionH>
                      <wp:positionV relativeFrom="paragraph">
                        <wp:posOffset>5995670</wp:posOffset>
                      </wp:positionV>
                      <wp:extent cx="171450" cy="152400"/>
                      <wp:effectExtent l="0" t="0" r="19050" b="19050"/>
                      <wp:wrapNone/>
                      <wp:docPr id="28" name="Bev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1A62B" id="Bevel 28" o:spid="_x0000_s1026" type="#_x0000_t84" style="position:absolute;margin-left:636.65pt;margin-top:472.1pt;width:13.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4050C1" wp14:editId="6566EDED">
                      <wp:simplePos x="0" y="0"/>
                      <wp:positionH relativeFrom="column">
                        <wp:posOffset>8608695</wp:posOffset>
                      </wp:positionH>
                      <wp:positionV relativeFrom="paragraph">
                        <wp:posOffset>6205220</wp:posOffset>
                      </wp:positionV>
                      <wp:extent cx="171450" cy="152400"/>
                      <wp:effectExtent l="0" t="0" r="19050" b="19050"/>
                      <wp:wrapNone/>
                      <wp:docPr id="29" name="Bev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904C2" id="Bevel 29" o:spid="_x0000_s1026" type="#_x0000_t84" style="position:absolute;margin-left:677.85pt;margin-top:488.6pt;width:13.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C299EE" wp14:editId="1C980A77">
                      <wp:simplePos x="0" y="0"/>
                      <wp:positionH relativeFrom="column">
                        <wp:posOffset>8599170</wp:posOffset>
                      </wp:positionH>
                      <wp:positionV relativeFrom="paragraph">
                        <wp:posOffset>5756275</wp:posOffset>
                      </wp:positionV>
                      <wp:extent cx="171450" cy="152400"/>
                      <wp:effectExtent l="0" t="0" r="19050" b="19050"/>
                      <wp:wrapNone/>
                      <wp:docPr id="30" name="Bev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02A61" id="Bevel 30" o:spid="_x0000_s1026" type="#_x0000_t84" style="position:absolute;margin-left:677.1pt;margin-top:453.25pt;width:13.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JybQ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D64A41" wp14:editId="2AEB5CFB">
                      <wp:simplePos x="0" y="0"/>
                      <wp:positionH relativeFrom="column">
                        <wp:posOffset>8512175</wp:posOffset>
                      </wp:positionH>
                      <wp:positionV relativeFrom="paragraph">
                        <wp:posOffset>5253990</wp:posOffset>
                      </wp:positionV>
                      <wp:extent cx="171450" cy="152400"/>
                      <wp:effectExtent l="0" t="0" r="19050" b="19050"/>
                      <wp:wrapNone/>
                      <wp:docPr id="31" name="Bev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BAF97" id="Bevel 31" o:spid="_x0000_s1026" type="#_x0000_t84" style="position:absolute;margin-left:670.25pt;margin-top:413.7pt;width:13.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5AD9F5" wp14:editId="12685E81">
                      <wp:simplePos x="0" y="0"/>
                      <wp:positionH relativeFrom="column">
                        <wp:posOffset>8757285</wp:posOffset>
                      </wp:positionH>
                      <wp:positionV relativeFrom="paragraph">
                        <wp:posOffset>4646295</wp:posOffset>
                      </wp:positionV>
                      <wp:extent cx="171450" cy="152400"/>
                      <wp:effectExtent l="0" t="0" r="19050" b="19050"/>
                      <wp:wrapNone/>
                      <wp:docPr id="32" name="Bev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24EF9" id="Bevel 32" o:spid="_x0000_s1026" type="#_x0000_t84" style="position:absolute;margin-left:689.55pt;margin-top:365.85pt;width:13.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u0bQ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FE2DD0" wp14:editId="5A30722E">
                      <wp:simplePos x="0" y="0"/>
                      <wp:positionH relativeFrom="column">
                        <wp:posOffset>8150225</wp:posOffset>
                      </wp:positionH>
                      <wp:positionV relativeFrom="paragraph">
                        <wp:posOffset>4227195</wp:posOffset>
                      </wp:positionV>
                      <wp:extent cx="171450" cy="152400"/>
                      <wp:effectExtent l="0" t="0" r="19050" b="19050"/>
                      <wp:wrapNone/>
                      <wp:docPr id="33" name="Bev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95259" id="Bevel 33" o:spid="_x0000_s1026" type="#_x0000_t84" style="position:absolute;margin-left:641.75pt;margin-top:332.85pt;width:13.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9944F3" wp14:editId="05F6E9E2">
                      <wp:simplePos x="0" y="0"/>
                      <wp:positionH relativeFrom="column">
                        <wp:posOffset>8225790</wp:posOffset>
                      </wp:positionH>
                      <wp:positionV relativeFrom="paragraph">
                        <wp:posOffset>3721735</wp:posOffset>
                      </wp:positionV>
                      <wp:extent cx="171450" cy="152400"/>
                      <wp:effectExtent l="0" t="0" r="19050" b="19050"/>
                      <wp:wrapNone/>
                      <wp:docPr id="34" name="Bev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440DA" id="Bevel 34" o:spid="_x0000_s1026" type="#_x0000_t84" style="position:absolute;margin-left:647.7pt;margin-top:293.05pt;width:13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ElbQ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774124" wp14:editId="360AEB34">
                      <wp:simplePos x="0" y="0"/>
                      <wp:positionH relativeFrom="column">
                        <wp:posOffset>8341995</wp:posOffset>
                      </wp:positionH>
                      <wp:positionV relativeFrom="paragraph">
                        <wp:posOffset>3268345</wp:posOffset>
                      </wp:positionV>
                      <wp:extent cx="171450" cy="152400"/>
                      <wp:effectExtent l="0" t="0" r="19050" b="19050"/>
                      <wp:wrapNone/>
                      <wp:docPr id="35" name="Bev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0947D" id="Bevel 35" o:spid="_x0000_s1026" type="#_x0000_t84" style="position:absolute;margin-left:656.85pt;margin-top:257.35pt;width:13.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2rbQ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EDFDBC" wp14:editId="542BF8F3">
                      <wp:simplePos x="0" y="0"/>
                      <wp:positionH relativeFrom="column">
                        <wp:posOffset>8585835</wp:posOffset>
                      </wp:positionH>
                      <wp:positionV relativeFrom="paragraph">
                        <wp:posOffset>2747010</wp:posOffset>
                      </wp:positionV>
                      <wp:extent cx="171450" cy="152400"/>
                      <wp:effectExtent l="0" t="0" r="19050" b="19050"/>
                      <wp:wrapNone/>
                      <wp:docPr id="36" name="Bev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8300D" id="Bevel 36" o:spid="_x0000_s1026" type="#_x0000_t84" style="position:absolute;margin-left:676.05pt;margin-top:216.3pt;width:13.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" fillcolor="#c0504d [3205]" strokecolor="#622423 [1605]" strokeweight="2pt"/>
                  </w:pict>
                </mc:Fallback>
              </mc:AlternateContent>
            </w:r>
            <w:r w:rsidRPr="00CA318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FA7272" wp14:editId="64055607">
                      <wp:simplePos x="0" y="0"/>
                      <wp:positionH relativeFrom="column">
                        <wp:posOffset>8298815</wp:posOffset>
                      </wp:positionH>
                      <wp:positionV relativeFrom="paragraph">
                        <wp:posOffset>2259330</wp:posOffset>
                      </wp:positionV>
                      <wp:extent cx="171450" cy="152400"/>
                      <wp:effectExtent l="0" t="0" r="19050" b="19050"/>
                      <wp:wrapNone/>
                      <wp:docPr id="37" name="Bev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936A0" id="Bevel 37" o:spid="_x0000_s1026" type="#_x0000_t84" style="position:absolute;margin-left:653.45pt;margin-top:177.9pt;width:13.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" fillcolor="#c0504d [3205]" strokecolor="#622423 [1605]" strokeweight="2pt"/>
                  </w:pict>
                </mc:Fallback>
              </mc:AlternateContent>
            </w:r>
            <w:r w:rsidR="00340E08" w:rsidRPr="00CA3186">
              <w:rPr>
                <w:b/>
                <w:noProof/>
                <w:sz w:val="18"/>
                <w:szCs w:val="18"/>
              </w:rPr>
              <w:t>NAME OF DATA PRODUCT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E1CF4C7" w14:textId="77777777" w:rsidR="00657AA7" w:rsidRPr="00CA3186" w:rsidRDefault="00657AA7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7E74F16" w14:textId="77777777" w:rsidR="00657AA7" w:rsidRPr="00CA3186" w:rsidRDefault="00657AA7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D1BBD6" w14:textId="77777777" w:rsidR="00657AA7" w:rsidRPr="00CA3186" w:rsidRDefault="00657AA7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1FC719" w14:textId="77777777" w:rsidR="00657AA7" w:rsidRPr="00CA3186" w:rsidRDefault="00340E08" w:rsidP="00340E0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657AA7" w:rsidRPr="00CA3186" w14:paraId="60F3D9F2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1DDEA14B" w14:textId="1F0D0A8D" w:rsidR="00657AA7" w:rsidRPr="00CA3186" w:rsidRDefault="00657AA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NASDAQ </w:t>
            </w:r>
            <w:r w:rsidR="00804CDE">
              <w:rPr>
                <w:rFonts w:cstheme="minorHAnsi"/>
                <w:b/>
                <w:sz w:val="18"/>
                <w:szCs w:val="18"/>
              </w:rPr>
              <w:t>UTP Regional, Level 1</w:t>
            </w:r>
            <w:r w:rsidR="00CF498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A3186">
              <w:rPr>
                <w:rFonts w:cstheme="minorHAnsi"/>
                <w:b/>
                <w:sz w:val="18"/>
                <w:szCs w:val="18"/>
              </w:rPr>
              <w:t>(NAS)</w:t>
            </w:r>
          </w:p>
        </w:tc>
        <w:tc>
          <w:tcPr>
            <w:tcW w:w="450" w:type="dxa"/>
            <w:vAlign w:val="center"/>
          </w:tcPr>
          <w:p w14:paraId="00DE73DF" w14:textId="71EC6544" w:rsidR="00657AA7" w:rsidRPr="00CA3186" w:rsidRDefault="00657AA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10FD945" w14:textId="77777777" w:rsidR="00657AA7" w:rsidRPr="00CA3186" w:rsidRDefault="00657AA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80F332B" w14:textId="77777777" w:rsidR="00657AA7" w:rsidRPr="00CA3186" w:rsidRDefault="00657AA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A2AA474" w14:textId="09582A4D" w:rsidR="00657AA7" w:rsidRPr="00CA3186" w:rsidRDefault="00A1097B" w:rsidP="008841B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C3BF2" w:rsidRPr="00CA3186" w14:paraId="3FCD1C4D" w14:textId="77777777" w:rsidTr="00C5062E">
        <w:trPr>
          <w:trHeight w:val="20"/>
        </w:trPr>
        <w:tc>
          <w:tcPr>
            <w:tcW w:w="2880" w:type="dxa"/>
            <w:shd w:val="clear" w:color="auto" w:fill="auto"/>
            <w:noWrap/>
            <w:vAlign w:val="center"/>
          </w:tcPr>
          <w:p w14:paraId="05FCF0A9" w14:textId="0EA89324" w:rsidR="00C92919" w:rsidRPr="00CA3186" w:rsidRDefault="004449E3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N</w:t>
            </w:r>
            <w:r w:rsidR="00CF28B2" w:rsidRPr="00CA3186">
              <w:rPr>
                <w:rFonts w:cstheme="minorHAnsi"/>
                <w:b/>
                <w:sz w:val="18"/>
                <w:szCs w:val="18"/>
              </w:rPr>
              <w:t xml:space="preserve">ASDAQ </w:t>
            </w:r>
            <w:proofErr w:type="spellStart"/>
            <w:r w:rsidR="00804CDE">
              <w:rPr>
                <w:rFonts w:cstheme="minorHAnsi"/>
                <w:b/>
                <w:sz w:val="18"/>
                <w:szCs w:val="18"/>
              </w:rPr>
              <w:t>Totalview</w:t>
            </w:r>
            <w:proofErr w:type="spellEnd"/>
            <w:r w:rsidR="00804CDE">
              <w:rPr>
                <w:rFonts w:cstheme="minorHAnsi"/>
                <w:b/>
                <w:sz w:val="18"/>
                <w:szCs w:val="18"/>
              </w:rPr>
              <w:t xml:space="preserve">, Level 2 </w:t>
            </w:r>
            <w:r w:rsidR="00F767ED" w:rsidRPr="00CA3186">
              <w:rPr>
                <w:rFonts w:cstheme="minorHAnsi"/>
                <w:b/>
                <w:sz w:val="18"/>
                <w:szCs w:val="18"/>
              </w:rPr>
              <w:t>(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>NAS)</w:t>
            </w:r>
          </w:p>
        </w:tc>
        <w:tc>
          <w:tcPr>
            <w:tcW w:w="450" w:type="dxa"/>
            <w:vAlign w:val="center"/>
          </w:tcPr>
          <w:p w14:paraId="53A92B68" w14:textId="74218253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BF30E79" w14:textId="77777777" w:rsidR="003C3BF2" w:rsidRPr="00CA3186" w:rsidRDefault="000E56A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7EFBB1" w14:textId="77777777" w:rsidR="003C3BF2" w:rsidRPr="00CA3186" w:rsidRDefault="003C3BF2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08A96EE" w14:textId="77777777" w:rsidR="003C3BF2" w:rsidRPr="00CA3186" w:rsidRDefault="003C3BF2" w:rsidP="008841B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A05D7" w:rsidRPr="00CA3186" w14:paraId="7E2EACE9" w14:textId="77777777" w:rsidTr="00C5062E">
        <w:trPr>
          <w:trHeight w:val="422"/>
        </w:trPr>
        <w:tc>
          <w:tcPr>
            <w:tcW w:w="2880" w:type="dxa"/>
            <w:shd w:val="clear" w:color="auto" w:fill="auto"/>
            <w:noWrap/>
            <w:vAlign w:val="center"/>
          </w:tcPr>
          <w:p w14:paraId="6E3F5600" w14:textId="55773EF9" w:rsidR="00CA05D7" w:rsidRPr="00CA3186" w:rsidRDefault="00CA05D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NYSE American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Openbook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L2 (ABK)</w:t>
            </w:r>
          </w:p>
        </w:tc>
        <w:tc>
          <w:tcPr>
            <w:tcW w:w="450" w:type="dxa"/>
            <w:vAlign w:val="center"/>
          </w:tcPr>
          <w:p w14:paraId="0ED32CE6" w14:textId="77777777" w:rsidR="00CA05D7" w:rsidRPr="00CA3186" w:rsidRDefault="00CA05D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66E2070" w14:textId="1A32CA7D" w:rsidR="00CA05D7" w:rsidRPr="00CA3186" w:rsidRDefault="00CA05D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9DF3AF5" w14:textId="77777777" w:rsidR="00CA05D7" w:rsidRPr="00CA3186" w:rsidRDefault="00CA05D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3E5B3C6" w14:textId="77777777" w:rsidR="00CA05D7" w:rsidRPr="00CA3186" w:rsidRDefault="00CA05D7" w:rsidP="008841B4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D520D" w:rsidRPr="00CA3186" w14:paraId="260F9664" w14:textId="77777777" w:rsidTr="00C5062E">
        <w:trPr>
          <w:trHeight w:val="20"/>
        </w:trPr>
        <w:tc>
          <w:tcPr>
            <w:tcW w:w="2880" w:type="dxa"/>
            <w:shd w:val="clear" w:color="auto" w:fill="auto"/>
            <w:noWrap/>
            <w:vAlign w:val="center"/>
          </w:tcPr>
          <w:p w14:paraId="1682D53F" w14:textId="77777777" w:rsidR="00CD520D" w:rsidRPr="00CA3186" w:rsidRDefault="00CD520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NYSE </w:t>
            </w: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ArcaBook</w:t>
            </w:r>
            <w:proofErr w:type="spellEnd"/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(ELF)</w:t>
            </w:r>
          </w:p>
        </w:tc>
        <w:tc>
          <w:tcPr>
            <w:tcW w:w="450" w:type="dxa"/>
            <w:vAlign w:val="center"/>
          </w:tcPr>
          <w:p w14:paraId="343B8211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9F99825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4EB8B5" w14:textId="77777777" w:rsidR="00CD520D" w:rsidRPr="00CA3186" w:rsidRDefault="008C51A1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10B57F" w14:textId="77777777" w:rsidR="00CD520D" w:rsidRPr="00CA3186" w:rsidRDefault="00CD520D" w:rsidP="008841B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1A5899" w:rsidRPr="00CA3186" w14:paraId="474BDD37" w14:textId="77777777" w:rsidTr="00C5062E">
        <w:trPr>
          <w:trHeight w:val="20"/>
        </w:trPr>
        <w:tc>
          <w:tcPr>
            <w:tcW w:w="2880" w:type="dxa"/>
            <w:shd w:val="clear" w:color="auto" w:fill="auto"/>
            <w:noWrap/>
            <w:vAlign w:val="center"/>
          </w:tcPr>
          <w:p w14:paraId="6148F199" w14:textId="5B2EB653" w:rsidR="001A5899" w:rsidRPr="00CA3186" w:rsidRDefault="006813D5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NYSE ARCA Global OTC (GOT)</w:t>
            </w:r>
          </w:p>
        </w:tc>
        <w:tc>
          <w:tcPr>
            <w:tcW w:w="450" w:type="dxa"/>
            <w:vAlign w:val="center"/>
          </w:tcPr>
          <w:p w14:paraId="466973F7" w14:textId="77777777" w:rsidR="001A5899" w:rsidRPr="00CA3186" w:rsidRDefault="001A5899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692AE75" w14:textId="77777777" w:rsidR="001A5899" w:rsidRPr="00CA3186" w:rsidRDefault="001A5899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43BB5A4" w14:textId="48BF9806" w:rsidR="001A5899" w:rsidRPr="00CA3186" w:rsidRDefault="006813D5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B42714" w14:textId="77777777" w:rsidR="001A5899" w:rsidRPr="00CA3186" w:rsidRDefault="001A5899" w:rsidP="008841B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D520D" w:rsidRPr="00CA3186" w14:paraId="3608F8DD" w14:textId="77777777" w:rsidTr="00C5062E">
        <w:trPr>
          <w:trHeight w:val="20"/>
        </w:trPr>
        <w:tc>
          <w:tcPr>
            <w:tcW w:w="2880" w:type="dxa"/>
            <w:shd w:val="clear" w:color="auto" w:fill="auto"/>
            <w:noWrap/>
            <w:vAlign w:val="center"/>
          </w:tcPr>
          <w:p w14:paraId="3F093838" w14:textId="1453AF26" w:rsidR="00CD520D" w:rsidRPr="00CA3186" w:rsidRDefault="00CD520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NYSE </w:t>
            </w:r>
            <w:r w:rsidR="005B071D">
              <w:rPr>
                <w:rFonts w:cstheme="minorHAnsi"/>
                <w:b/>
                <w:sz w:val="18"/>
                <w:szCs w:val="18"/>
              </w:rPr>
              <w:t xml:space="preserve">CTA Tape </w:t>
            </w:r>
            <w:proofErr w:type="gramStart"/>
            <w:r w:rsidR="005B071D">
              <w:rPr>
                <w:rFonts w:cstheme="minorHAnsi"/>
                <w:b/>
                <w:sz w:val="18"/>
                <w:szCs w:val="18"/>
              </w:rPr>
              <w:t>A</w:t>
            </w:r>
            <w:proofErr w:type="gramEnd"/>
            <w:r w:rsidR="005B071D">
              <w:rPr>
                <w:rFonts w:cstheme="minorHAnsi"/>
                <w:b/>
                <w:sz w:val="18"/>
                <w:szCs w:val="18"/>
              </w:rPr>
              <w:t xml:space="preserve"> L1/L2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(NYS)</w:t>
            </w:r>
          </w:p>
        </w:tc>
        <w:tc>
          <w:tcPr>
            <w:tcW w:w="450" w:type="dxa"/>
            <w:vAlign w:val="center"/>
          </w:tcPr>
          <w:p w14:paraId="5FBE9788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DC8186B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05D9CCE" w14:textId="77777777" w:rsidR="00CD520D" w:rsidRPr="00CA3186" w:rsidRDefault="00826D1E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55862B" w14:textId="77777777" w:rsidR="00CD520D" w:rsidRPr="00CA3186" w:rsidRDefault="004B09E7" w:rsidP="008841B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3186">
              <w:rPr>
                <w:rFonts w:cstheme="minorHAnsi"/>
                <w:b/>
                <w:sz w:val="16"/>
                <w:szCs w:val="16"/>
              </w:rPr>
              <w:t>(L1)</w:t>
            </w:r>
          </w:p>
        </w:tc>
      </w:tr>
      <w:tr w:rsidR="005B6D48" w:rsidRPr="00CA3186" w14:paraId="7A172631" w14:textId="77777777" w:rsidTr="00CA05D7">
        <w:trPr>
          <w:trHeight w:val="20"/>
        </w:trPr>
        <w:tc>
          <w:tcPr>
            <w:tcW w:w="2880" w:type="dxa"/>
            <w:shd w:val="clear" w:color="auto" w:fill="auto"/>
            <w:noWrap/>
            <w:vAlign w:val="center"/>
          </w:tcPr>
          <w:p w14:paraId="41723B2A" w14:textId="31C757A2" w:rsidR="005B6D48" w:rsidRPr="00CA3186" w:rsidRDefault="005B6D48" w:rsidP="005B6D4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NYSE </w:t>
            </w:r>
            <w:r>
              <w:rPr>
                <w:rFonts w:cstheme="minorHAnsi"/>
                <w:b/>
                <w:sz w:val="18"/>
                <w:szCs w:val="18"/>
              </w:rPr>
              <w:t>CTA Tape B L1/L2</w:t>
            </w:r>
            <w:r w:rsidRPr="00CA3186">
              <w:rPr>
                <w:rFonts w:cstheme="minorHAnsi"/>
                <w:b/>
                <w:sz w:val="18"/>
                <w:szCs w:val="18"/>
              </w:rPr>
              <w:t xml:space="preserve"> (ASE)</w:t>
            </w:r>
          </w:p>
        </w:tc>
        <w:tc>
          <w:tcPr>
            <w:tcW w:w="450" w:type="dxa"/>
            <w:vAlign w:val="center"/>
          </w:tcPr>
          <w:p w14:paraId="56549F7C" w14:textId="77777777" w:rsidR="005B6D48" w:rsidRPr="00CA3186" w:rsidRDefault="005B6D48" w:rsidP="005B6D4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777411A" w14:textId="77777777" w:rsidR="005B6D48" w:rsidRPr="00CA3186" w:rsidRDefault="005B6D48" w:rsidP="005B6D4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50928E3" w14:textId="4779B1BA" w:rsidR="005B6D48" w:rsidRPr="00CA3186" w:rsidRDefault="005B6D48" w:rsidP="005B6D4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7246E9" w14:textId="22A3F82D" w:rsidR="005B6D48" w:rsidRPr="00CA3186" w:rsidRDefault="005B6D48" w:rsidP="005B6D48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3186">
              <w:rPr>
                <w:rFonts w:cstheme="minorHAnsi"/>
                <w:b/>
                <w:sz w:val="16"/>
                <w:szCs w:val="16"/>
              </w:rPr>
              <w:t>(L1)</w:t>
            </w:r>
          </w:p>
        </w:tc>
      </w:tr>
      <w:tr w:rsidR="00CD520D" w:rsidRPr="00CA3186" w14:paraId="070E2368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113FF694" w14:textId="77777777" w:rsidR="00CD520D" w:rsidRPr="00CA3186" w:rsidRDefault="00CD520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NYSE Corporate Bonds 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>(NCB)</w:t>
            </w:r>
          </w:p>
        </w:tc>
        <w:tc>
          <w:tcPr>
            <w:tcW w:w="450" w:type="dxa"/>
            <w:vAlign w:val="center"/>
          </w:tcPr>
          <w:p w14:paraId="5DE33965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11DC948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EBFB716" w14:textId="77777777" w:rsidR="00CD520D" w:rsidRPr="00CA3186" w:rsidRDefault="004B09E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DF7812" w14:textId="77777777" w:rsidR="00CD520D" w:rsidRPr="00CA3186" w:rsidRDefault="00CD520D" w:rsidP="008841B4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D520D" w:rsidRPr="00CA3186" w14:paraId="4C1AA3B6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44711097" w14:textId="77777777" w:rsidR="00CD520D" w:rsidRPr="00CA3186" w:rsidRDefault="00CD520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NYSE Euronext Global Indices Feed 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>(NGI)</w:t>
            </w:r>
          </w:p>
        </w:tc>
        <w:tc>
          <w:tcPr>
            <w:tcW w:w="450" w:type="dxa"/>
            <w:vAlign w:val="center"/>
          </w:tcPr>
          <w:p w14:paraId="40965975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2F2A6DB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F81918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5E77905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C747D" w:rsidRPr="00CA3186" w14:paraId="036885D9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6DA4D8C8" w14:textId="44919779" w:rsidR="006C747D" w:rsidRPr="00CA3186" w:rsidRDefault="006C747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NYSE </w:t>
            </w: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OpenBook</w:t>
            </w:r>
            <w:proofErr w:type="spellEnd"/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(NBK)</w:t>
            </w:r>
          </w:p>
        </w:tc>
        <w:tc>
          <w:tcPr>
            <w:tcW w:w="450" w:type="dxa"/>
            <w:vAlign w:val="center"/>
          </w:tcPr>
          <w:p w14:paraId="681D50A3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7AB7147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725987F" w14:textId="77777777" w:rsidR="006C747D" w:rsidRPr="00CA3186" w:rsidRDefault="00892EB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58029A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D520D" w:rsidRPr="00CA3186" w14:paraId="1513B4FC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5BE37646" w14:textId="77777777" w:rsidR="00CD520D" w:rsidRPr="00CA3186" w:rsidRDefault="00CD520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 xml:space="preserve">OPRA 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gramEnd"/>
            <w:r w:rsidR="008453FB" w:rsidRPr="00CA3186">
              <w:rPr>
                <w:rFonts w:cstheme="minorHAnsi"/>
                <w:b/>
                <w:sz w:val="18"/>
                <w:szCs w:val="18"/>
              </w:rPr>
              <w:t>OPR)</w:t>
            </w:r>
          </w:p>
        </w:tc>
        <w:tc>
          <w:tcPr>
            <w:tcW w:w="450" w:type="dxa"/>
            <w:vAlign w:val="center"/>
          </w:tcPr>
          <w:p w14:paraId="403D4E38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AEE9EAD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F4A0EA3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208178" w14:textId="77777777" w:rsidR="00CD520D" w:rsidRPr="00CA3186" w:rsidRDefault="00CD520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C747D" w:rsidRPr="00CA3186" w14:paraId="3C262A56" w14:textId="77777777" w:rsidTr="00C5062E">
        <w:trPr>
          <w:trHeight w:val="125"/>
        </w:trPr>
        <w:tc>
          <w:tcPr>
            <w:tcW w:w="2880" w:type="dxa"/>
            <w:noWrap/>
            <w:vAlign w:val="center"/>
          </w:tcPr>
          <w:p w14:paraId="3012D99A" w14:textId="77777777" w:rsidR="006C747D" w:rsidRPr="00CA3186" w:rsidRDefault="006C747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Pink OTC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(PNK)</w:t>
            </w:r>
          </w:p>
        </w:tc>
        <w:tc>
          <w:tcPr>
            <w:tcW w:w="450" w:type="dxa"/>
            <w:vAlign w:val="center"/>
          </w:tcPr>
          <w:p w14:paraId="5E32A94F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89616A9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0F03EDE" w14:textId="77777777" w:rsidR="006C747D" w:rsidRPr="00CA3186" w:rsidRDefault="001846C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A88C95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C1D17" w:rsidRPr="00CA3186" w14:paraId="3CE60719" w14:textId="77777777" w:rsidTr="00C5062E">
        <w:trPr>
          <w:trHeight w:val="125"/>
        </w:trPr>
        <w:tc>
          <w:tcPr>
            <w:tcW w:w="2880" w:type="dxa"/>
            <w:noWrap/>
            <w:vAlign w:val="center"/>
          </w:tcPr>
          <w:p w14:paraId="1F3308F9" w14:textId="77777777" w:rsidR="002C1D17" w:rsidRPr="00CA3186" w:rsidRDefault="002C1D17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Santiago Stock Exchange (SSE)</w:t>
            </w:r>
          </w:p>
        </w:tc>
        <w:tc>
          <w:tcPr>
            <w:tcW w:w="450" w:type="dxa"/>
            <w:vAlign w:val="center"/>
          </w:tcPr>
          <w:p w14:paraId="03EC093C" w14:textId="77777777" w:rsidR="002C1D17" w:rsidRPr="00CA3186" w:rsidRDefault="002C1D17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12AEEEF" w14:textId="77777777" w:rsidR="002C1D17" w:rsidRPr="00CA3186" w:rsidRDefault="002C1D1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71CF9C7" w14:textId="77777777" w:rsidR="002C1D17" w:rsidRPr="00CA3186" w:rsidRDefault="002C1D1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DA70E8C" w14:textId="77777777" w:rsidR="002C1D17" w:rsidRPr="00CA3186" w:rsidRDefault="002C1D17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C747D" w:rsidRPr="00CA3186" w14:paraId="487C6414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5FAB15D5" w14:textId="77777777" w:rsidR="006C747D" w:rsidRPr="00CA3186" w:rsidRDefault="006C747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Toronto Stock Exchange   Resident (Includes Alpha, Chi-X, Pure, Omega, Select, Aequitas)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(TOR)</w:t>
            </w:r>
          </w:p>
        </w:tc>
        <w:tc>
          <w:tcPr>
            <w:tcW w:w="450" w:type="dxa"/>
            <w:vAlign w:val="center"/>
          </w:tcPr>
          <w:p w14:paraId="41717EB8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3A1739BA" w14:textId="77777777" w:rsidR="006C747D" w:rsidRPr="00CA3186" w:rsidRDefault="000E56A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0E6917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BE26D00" w14:textId="77777777" w:rsidR="006C747D" w:rsidRPr="00CA3186" w:rsidRDefault="00B75AA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6C747D" w:rsidRPr="00CA3186" w14:paraId="240410D1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67182D41" w14:textId="77777777" w:rsidR="006C747D" w:rsidRPr="00CA3186" w:rsidRDefault="006C747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Toronto Stock Exchange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Non Resident</w:t>
            </w:r>
            <w:proofErr w:type="gramEnd"/>
            <w:r w:rsidRPr="00CA3186">
              <w:rPr>
                <w:rFonts w:cstheme="minorHAnsi"/>
                <w:b/>
                <w:sz w:val="18"/>
                <w:szCs w:val="18"/>
              </w:rPr>
              <w:t xml:space="preserve"> (Includes Alpha, Chi-X, Pure, Omega, Select, Aequitas)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(TOR)</w:t>
            </w:r>
          </w:p>
        </w:tc>
        <w:tc>
          <w:tcPr>
            <w:tcW w:w="450" w:type="dxa"/>
            <w:vAlign w:val="center"/>
          </w:tcPr>
          <w:p w14:paraId="258CF639" w14:textId="77777777" w:rsidR="006C747D" w:rsidRPr="00CA3186" w:rsidRDefault="00927983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BCEB9DB" w14:textId="77777777" w:rsidR="006C747D" w:rsidRPr="00CA3186" w:rsidRDefault="000E56A0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BCD589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B58AD7A" w14:textId="77777777" w:rsidR="006C747D" w:rsidRPr="00CA3186" w:rsidRDefault="00B75AA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6C747D" w:rsidRPr="00CA3186" w14:paraId="0701CBF7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4B05E031" w14:textId="77777777" w:rsidR="006C747D" w:rsidRPr="00CA3186" w:rsidRDefault="006C747D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TSX Venture </w:t>
            </w: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MarketBook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F56DB" w:rsidRPr="00CA3186">
              <w:rPr>
                <w:rFonts w:cstheme="minorHAnsi"/>
                <w:b/>
                <w:sz w:val="18"/>
                <w:szCs w:val="18"/>
              </w:rPr>
              <w:t xml:space="preserve">(VAN) </w:t>
            </w:r>
            <w:r w:rsidRPr="00CA3186">
              <w:rPr>
                <w:rFonts w:cstheme="minorHAnsi"/>
                <w:b/>
                <w:sz w:val="18"/>
                <w:szCs w:val="18"/>
              </w:rPr>
              <w:t>Non Resident (Includes Alpha, Chi-X, Pure, Omega, Select,</w:t>
            </w:r>
            <w:r w:rsidR="00E71F7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Aequitas)*</w:t>
            </w:r>
            <w:proofErr w:type="gramEnd"/>
            <w:r w:rsidRPr="00CA3186">
              <w:rPr>
                <w:rFonts w:cstheme="minorHAnsi"/>
                <w:b/>
                <w:sz w:val="18"/>
                <w:szCs w:val="18"/>
              </w:rPr>
              <w:t>*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(VAN)</w:t>
            </w:r>
          </w:p>
        </w:tc>
        <w:tc>
          <w:tcPr>
            <w:tcW w:w="450" w:type="dxa"/>
            <w:vAlign w:val="center"/>
          </w:tcPr>
          <w:p w14:paraId="3B768F78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4E6AB600" w14:textId="77777777" w:rsidR="006C747D" w:rsidRPr="00CA3186" w:rsidRDefault="00B75AA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D4FBCF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BCD1DEB" w14:textId="77777777" w:rsidR="006C747D" w:rsidRPr="00CA3186" w:rsidRDefault="006C747D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27983" w:rsidRPr="00CA3186" w14:paraId="5B264164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6AFA857D" w14:textId="77777777" w:rsidR="00927983" w:rsidRPr="00CA3186" w:rsidRDefault="00927983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TSX Venture </w:t>
            </w:r>
            <w:proofErr w:type="spellStart"/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MarketBook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 Resident</w:t>
            </w:r>
            <w:proofErr w:type="gramEnd"/>
            <w:r w:rsidRPr="00CA3186">
              <w:rPr>
                <w:rFonts w:cstheme="minorHAnsi"/>
                <w:b/>
                <w:sz w:val="18"/>
                <w:szCs w:val="18"/>
              </w:rPr>
              <w:t xml:space="preserve"> (Includes Alpha, Chi-X, Pure, Omega, Select, Aequitas)**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 xml:space="preserve"> (VAN)</w:t>
            </w:r>
          </w:p>
        </w:tc>
        <w:tc>
          <w:tcPr>
            <w:tcW w:w="450" w:type="dxa"/>
            <w:vAlign w:val="center"/>
          </w:tcPr>
          <w:p w14:paraId="27E0068C" w14:textId="77777777" w:rsidR="00927983" w:rsidRPr="00CA3186" w:rsidRDefault="00927983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867DF55" w14:textId="77777777" w:rsidR="00927983" w:rsidRPr="00CA3186" w:rsidRDefault="00B75AA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EF9BBE" w14:textId="77777777" w:rsidR="00927983" w:rsidRPr="00CA3186" w:rsidRDefault="00927983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A369606" w14:textId="77777777" w:rsidR="00927983" w:rsidRPr="00CA3186" w:rsidRDefault="00927983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557B30" w:rsidRPr="00CA3186" w14:paraId="2F9C1FCA" w14:textId="77777777" w:rsidTr="00C5062E">
        <w:trPr>
          <w:trHeight w:val="20"/>
        </w:trPr>
        <w:tc>
          <w:tcPr>
            <w:tcW w:w="2880" w:type="dxa"/>
            <w:noWrap/>
            <w:vAlign w:val="center"/>
          </w:tcPr>
          <w:p w14:paraId="456DAFA1" w14:textId="524225B7" w:rsidR="00557B30" w:rsidRPr="00CA3186" w:rsidRDefault="00557B30" w:rsidP="00340E08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US Gov Pricing Realtime (FIN)</w:t>
            </w:r>
          </w:p>
        </w:tc>
        <w:tc>
          <w:tcPr>
            <w:tcW w:w="450" w:type="dxa"/>
            <w:vAlign w:val="center"/>
          </w:tcPr>
          <w:p w14:paraId="1BF79FE9" w14:textId="32E479A7" w:rsidR="00557B30" w:rsidRPr="00CA3186" w:rsidRDefault="00557B30" w:rsidP="0036137F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5BE811E" w14:textId="77777777" w:rsidR="00557B30" w:rsidRPr="00CA3186" w:rsidRDefault="00557B3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86C1CB5" w14:textId="77777777" w:rsidR="00557B30" w:rsidRPr="00CA3186" w:rsidRDefault="00557B3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965086" w14:textId="77777777" w:rsidR="00557B30" w:rsidRPr="00CA3186" w:rsidRDefault="00557B30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5A771AB" w14:textId="5B88564A" w:rsidR="004667F7" w:rsidRDefault="004667F7" w:rsidP="00D30911">
      <w:pPr>
        <w:jc w:val="center"/>
        <w:rPr>
          <w:b/>
          <w:sz w:val="20"/>
          <w:szCs w:val="20"/>
        </w:rPr>
      </w:pPr>
    </w:p>
    <w:p w14:paraId="63C08CE1" w14:textId="77777777" w:rsidR="00503620" w:rsidRPr="00CA3186" w:rsidRDefault="00503620" w:rsidP="00D30911">
      <w:pPr>
        <w:jc w:val="center"/>
        <w:rPr>
          <w:b/>
          <w:sz w:val="20"/>
          <w:szCs w:val="20"/>
        </w:rPr>
        <w:sectPr w:rsidR="00503620" w:rsidRPr="00CA3186" w:rsidSect="006363BD">
          <w:headerReference w:type="default" r:id="rId14"/>
          <w:type w:val="continuous"/>
          <w:pgSz w:w="12240" w:h="15840"/>
          <w:pgMar w:top="245" w:right="245" w:bottom="245" w:left="245" w:header="144" w:footer="0" w:gutter="0"/>
          <w:cols w:num="2" w:space="720"/>
          <w:titlePg/>
          <w:docGrid w:linePitch="360"/>
        </w:sectPr>
      </w:pPr>
    </w:p>
    <w:p w14:paraId="792BA1ED" w14:textId="77777777" w:rsidR="001C7702" w:rsidRPr="00221A7A" w:rsidRDefault="001C7702" w:rsidP="00221A7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86"/>
        <w:tblW w:w="5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9"/>
      </w:tblGrid>
      <w:tr w:rsidR="00503620" w:rsidRPr="00CA3186" w14:paraId="78832249" w14:textId="77777777" w:rsidTr="00503620">
        <w:trPr>
          <w:trHeight w:val="104"/>
        </w:trPr>
        <w:tc>
          <w:tcPr>
            <w:tcW w:w="5389" w:type="dxa"/>
            <w:shd w:val="clear" w:color="auto" w:fill="D9D9D9" w:themeFill="background1" w:themeFillShade="D9"/>
          </w:tcPr>
          <w:p w14:paraId="22783482" w14:textId="77777777" w:rsidR="00503620" w:rsidRPr="00CA3186" w:rsidRDefault="00503620" w:rsidP="00503620">
            <w:pPr>
              <w:spacing w:line="240" w:lineRule="exact"/>
              <w:rPr>
                <w:b/>
                <w:sz w:val="21"/>
                <w:szCs w:val="21"/>
              </w:rPr>
            </w:pPr>
            <w:r w:rsidRPr="00CA3186">
              <w:rPr>
                <w:b/>
                <w:sz w:val="20"/>
                <w:szCs w:val="20"/>
              </w:rPr>
              <w:lastRenderedPageBreak/>
              <w:br w:type="page"/>
            </w:r>
            <w:r w:rsidRPr="00CA3186">
              <w:rPr>
                <w:b/>
                <w:sz w:val="21"/>
                <w:szCs w:val="21"/>
              </w:rPr>
              <w:t xml:space="preserve">EMEA SOURCES (Europe, Middle </w:t>
            </w:r>
            <w:proofErr w:type="gramStart"/>
            <w:r w:rsidRPr="00CA3186">
              <w:rPr>
                <w:b/>
                <w:sz w:val="21"/>
                <w:szCs w:val="21"/>
              </w:rPr>
              <w:t>East</w:t>
            </w:r>
            <w:proofErr w:type="gramEnd"/>
            <w:r w:rsidRPr="00CA3186">
              <w:rPr>
                <w:b/>
                <w:sz w:val="21"/>
                <w:szCs w:val="21"/>
              </w:rPr>
              <w:t xml:space="preserve"> and Africa) (1 Region) </w:t>
            </w:r>
          </w:p>
        </w:tc>
      </w:tr>
    </w:tbl>
    <w:p w14:paraId="59C73A29" w14:textId="33349C27" w:rsidR="00591A7B" w:rsidRDefault="00591A7B" w:rsidP="00591A7B">
      <w:pPr>
        <w:spacing w:after="0" w:line="220" w:lineRule="exact"/>
        <w:rPr>
          <w:b/>
          <w:i/>
          <w:sz w:val="20"/>
          <w:szCs w:val="20"/>
        </w:rPr>
      </w:pPr>
    </w:p>
    <w:p w14:paraId="4B0F299C" w14:textId="77777777" w:rsidR="00503620" w:rsidRPr="00CA3186" w:rsidRDefault="00503620" w:rsidP="00591A7B">
      <w:pPr>
        <w:spacing w:after="0" w:line="220" w:lineRule="exact"/>
        <w:rPr>
          <w:b/>
          <w:i/>
          <w:sz w:val="20"/>
          <w:szCs w:val="20"/>
        </w:rPr>
        <w:sectPr w:rsidR="00503620" w:rsidRPr="00CA3186" w:rsidSect="00E848E9"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245" w:right="245" w:bottom="245" w:left="245" w:header="144" w:footer="432" w:gutter="0"/>
          <w:cols w:space="720"/>
          <w:docGrid w:linePitch="360"/>
        </w:sectPr>
      </w:pPr>
    </w:p>
    <w:tbl>
      <w:tblPr>
        <w:tblStyle w:val="TableGrid"/>
        <w:tblW w:w="54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958"/>
        <w:gridCol w:w="450"/>
        <w:gridCol w:w="453"/>
        <w:gridCol w:w="636"/>
        <w:gridCol w:w="903"/>
      </w:tblGrid>
      <w:tr w:rsidR="00883F4F" w:rsidRPr="00CA3186" w14:paraId="5E7C7DC1" w14:textId="77777777" w:rsidTr="006075A8">
        <w:trPr>
          <w:trHeight w:val="20"/>
        </w:trPr>
        <w:tc>
          <w:tcPr>
            <w:tcW w:w="2958" w:type="dxa"/>
            <w:shd w:val="clear" w:color="auto" w:fill="D9D9D9" w:themeFill="background1" w:themeFillShade="D9"/>
            <w:noWrap/>
            <w:vAlign w:val="center"/>
          </w:tcPr>
          <w:p w14:paraId="1FBC2309" w14:textId="77777777" w:rsidR="00883F4F" w:rsidRPr="00CA3186" w:rsidRDefault="000C6442" w:rsidP="000C6442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NAME OF DATA PRODUCT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F98D030" w14:textId="77777777" w:rsidR="00883F4F" w:rsidRPr="00CA3186" w:rsidRDefault="00883F4F" w:rsidP="000C6442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74777296" w14:textId="77777777" w:rsidR="00883F4F" w:rsidRPr="00CA3186" w:rsidRDefault="00883F4F" w:rsidP="000C6442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2573EAB1" w14:textId="77777777" w:rsidR="00883F4F" w:rsidRPr="00CA3186" w:rsidRDefault="00883F4F" w:rsidP="000C6442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6AFF4810" w14:textId="77777777" w:rsidR="00883F4F" w:rsidRPr="00CA3186" w:rsidRDefault="000C6442" w:rsidP="000C6442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614899" w:rsidRPr="00CA3186" w14:paraId="4DA9CB02" w14:textId="77777777" w:rsidTr="006075A8">
        <w:trPr>
          <w:trHeight w:val="449"/>
        </w:trPr>
        <w:tc>
          <w:tcPr>
            <w:tcW w:w="2958" w:type="dxa"/>
            <w:shd w:val="clear" w:color="auto" w:fill="FFFFFF" w:themeFill="background1"/>
            <w:noWrap/>
            <w:vAlign w:val="center"/>
          </w:tcPr>
          <w:p w14:paraId="68F13D56" w14:textId="77777777" w:rsidR="00614899" w:rsidRPr="00CA3186" w:rsidRDefault="00614899" w:rsidP="000C6442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Athens </w:t>
            </w:r>
            <w:r w:rsidR="004F05FA" w:rsidRPr="00CA3186">
              <w:rPr>
                <w:rFonts w:cstheme="minorHAnsi"/>
                <w:b/>
                <w:sz w:val="18"/>
                <w:szCs w:val="18"/>
              </w:rPr>
              <w:t xml:space="preserve">Stock Exchange 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>(ATH)</w:t>
            </w:r>
          </w:p>
        </w:tc>
        <w:tc>
          <w:tcPr>
            <w:tcW w:w="450" w:type="dxa"/>
            <w:vAlign w:val="center"/>
          </w:tcPr>
          <w:p w14:paraId="09CAFF7C" w14:textId="77777777" w:rsidR="00614899" w:rsidRPr="00CA3186" w:rsidRDefault="00614899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4BB7F975" w14:textId="77777777" w:rsidR="00614899" w:rsidRPr="00CA3186" w:rsidRDefault="00614899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6BE9ED4B" w14:textId="77777777" w:rsidR="00614899" w:rsidRPr="00CA3186" w:rsidRDefault="00614899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084156C0" w14:textId="77777777" w:rsidR="00614899" w:rsidRPr="00CA3186" w:rsidRDefault="00614899" w:rsidP="000C6442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883F4F" w:rsidRPr="00CA3186" w14:paraId="7CCD35AF" w14:textId="77777777" w:rsidTr="006075A8">
        <w:trPr>
          <w:trHeight w:val="206"/>
        </w:trPr>
        <w:tc>
          <w:tcPr>
            <w:tcW w:w="2958" w:type="dxa"/>
            <w:shd w:val="clear" w:color="auto" w:fill="FFFFFF" w:themeFill="background1"/>
            <w:noWrap/>
            <w:vAlign w:val="center"/>
          </w:tcPr>
          <w:p w14:paraId="05DDDB9B" w14:textId="4F8ED80E" w:rsidR="00883F4F" w:rsidRPr="00CA3186" w:rsidRDefault="00883F4F" w:rsidP="000C6442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BATS / </w:t>
            </w:r>
            <w:r w:rsidR="00F358C2">
              <w:rPr>
                <w:rFonts w:cstheme="minorHAnsi"/>
                <w:b/>
                <w:sz w:val="18"/>
                <w:szCs w:val="18"/>
              </w:rPr>
              <w:t>CBOE BXE/CXE Europe</w:t>
            </w:r>
            <w:r w:rsidRPr="00CA318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453FB" w:rsidRPr="00CA3186">
              <w:rPr>
                <w:rFonts w:cstheme="minorHAnsi"/>
                <w:b/>
                <w:sz w:val="18"/>
                <w:szCs w:val="18"/>
              </w:rPr>
              <w:t>(BAE)</w:t>
            </w:r>
          </w:p>
        </w:tc>
        <w:tc>
          <w:tcPr>
            <w:tcW w:w="450" w:type="dxa"/>
            <w:vAlign w:val="center"/>
          </w:tcPr>
          <w:p w14:paraId="2B3E6E8D" w14:textId="77777777" w:rsidR="00883F4F" w:rsidRPr="00CA3186" w:rsidRDefault="00883F4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1523D544" w14:textId="77777777" w:rsidR="00883F4F" w:rsidRPr="00CA3186" w:rsidRDefault="00883F4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1AB95478" w14:textId="77777777" w:rsidR="00883F4F" w:rsidRPr="00CA3186" w:rsidRDefault="00883F4F" w:rsidP="0036137F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52EA2D00" w14:textId="77777777" w:rsidR="00883F4F" w:rsidRPr="00CA3186" w:rsidRDefault="00883F4F" w:rsidP="000C6442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791E10" w:rsidRPr="00CA3186" w14:paraId="6F18E892" w14:textId="77777777" w:rsidTr="006075A8">
        <w:trPr>
          <w:trHeight w:val="251"/>
        </w:trPr>
        <w:tc>
          <w:tcPr>
            <w:tcW w:w="2958" w:type="dxa"/>
            <w:shd w:val="clear" w:color="auto" w:fill="FFFFFF" w:themeFill="background1"/>
            <w:noWrap/>
            <w:vAlign w:val="center"/>
          </w:tcPr>
          <w:p w14:paraId="68495D31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Budapest Stock Exchange (BUD)</w:t>
            </w:r>
          </w:p>
        </w:tc>
        <w:tc>
          <w:tcPr>
            <w:tcW w:w="450" w:type="dxa"/>
            <w:vAlign w:val="center"/>
          </w:tcPr>
          <w:p w14:paraId="618921D3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64E3939C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09A2C07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43BE1ADA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791E10" w:rsidRPr="00CA3186" w14:paraId="524D1CE4" w14:textId="77777777" w:rsidTr="006075A8">
        <w:trPr>
          <w:trHeight w:val="179"/>
        </w:trPr>
        <w:tc>
          <w:tcPr>
            <w:tcW w:w="2958" w:type="dxa"/>
            <w:shd w:val="clear" w:color="auto" w:fill="FFFFFF" w:themeFill="background1"/>
            <w:noWrap/>
            <w:vAlign w:val="center"/>
          </w:tcPr>
          <w:p w14:paraId="299F1EE7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Budapest Stock Exchange Indices</w:t>
            </w:r>
          </w:p>
          <w:p w14:paraId="5871531E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 (BDI)</w:t>
            </w:r>
          </w:p>
        </w:tc>
        <w:tc>
          <w:tcPr>
            <w:tcW w:w="450" w:type="dxa"/>
            <w:vAlign w:val="center"/>
          </w:tcPr>
          <w:p w14:paraId="0E8E7F84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0BBEA7B9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2C352399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0DA371B0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791E10" w:rsidRPr="00CA3186" w14:paraId="57C28884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5BA57B74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German Regional Exchanges Berlin (BER)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67DEC6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7E30E6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3CAC36F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5C4BE3A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6F8C4D92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5CFC1ACD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German Spot Market (ETR)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9D050F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8D80170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11BC2299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987F343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536CD404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7488BA2B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German Spot Market Delayed (ETR)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C5B059F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AF3844D" w14:textId="77777777" w:rsidR="00791E10" w:rsidRPr="00CA3186" w:rsidDel="00DC4D1E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B2721CA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748157A" w14:textId="77777777" w:rsidR="00791E10" w:rsidRPr="00CA3186" w:rsidDel="00DC4D1E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37C0C" w:rsidRPr="00CA3186" w14:paraId="12F47286" w14:textId="77777777" w:rsidTr="006075A8">
        <w:trPr>
          <w:trHeight w:val="20"/>
        </w:trPr>
        <w:tc>
          <w:tcPr>
            <w:tcW w:w="2958" w:type="dxa"/>
            <w:noWrap/>
            <w:vAlign w:val="center"/>
          </w:tcPr>
          <w:p w14:paraId="74127C7F" w14:textId="6B91AD36" w:rsidR="00D37C0C" w:rsidRPr="00CA3186" w:rsidRDefault="00D37C0C" w:rsidP="00D37C0C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German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Xetra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ETFs and ETPs (ETX)</w:t>
            </w:r>
          </w:p>
        </w:tc>
        <w:tc>
          <w:tcPr>
            <w:tcW w:w="450" w:type="dxa"/>
            <w:vAlign w:val="center"/>
          </w:tcPr>
          <w:p w14:paraId="043F0967" w14:textId="77777777" w:rsidR="00D37C0C" w:rsidRPr="00CA3186" w:rsidRDefault="00D37C0C" w:rsidP="00D37C0C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0158723D" w14:textId="77777777" w:rsidR="00D37C0C" w:rsidRPr="00CA3186" w:rsidRDefault="00D37C0C" w:rsidP="00D37C0C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39233C04" w14:textId="0C2C4CA0" w:rsidR="00D37C0C" w:rsidRPr="00CA3186" w:rsidRDefault="00D37C0C" w:rsidP="00D37C0C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17C24597" w14:textId="1A84561E" w:rsidR="00D37C0C" w:rsidRPr="00CA3186" w:rsidRDefault="00D37C0C" w:rsidP="00D37C0C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(L1/2)</w:t>
            </w:r>
          </w:p>
        </w:tc>
      </w:tr>
      <w:tr w:rsidR="00791E10" w:rsidRPr="00CA3186" w14:paraId="5BD3B3E4" w14:textId="77777777" w:rsidTr="006075A8">
        <w:trPr>
          <w:trHeight w:val="20"/>
        </w:trPr>
        <w:tc>
          <w:tcPr>
            <w:tcW w:w="2958" w:type="dxa"/>
            <w:noWrap/>
            <w:vAlign w:val="center"/>
          </w:tcPr>
          <w:p w14:paraId="110E9079" w14:textId="66AC989F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Eurex (EUX)</w:t>
            </w:r>
            <w:r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Non Pro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76C91E7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1CA29107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23A26C45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29206BC9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(L1/2)</w:t>
            </w:r>
          </w:p>
        </w:tc>
      </w:tr>
      <w:tr w:rsidR="00791E10" w:rsidRPr="00CA3186" w14:paraId="21CD56B2" w14:textId="77777777" w:rsidTr="006075A8">
        <w:trPr>
          <w:trHeight w:val="20"/>
        </w:trPr>
        <w:tc>
          <w:tcPr>
            <w:tcW w:w="2958" w:type="dxa"/>
            <w:noWrap/>
            <w:vAlign w:val="center"/>
          </w:tcPr>
          <w:p w14:paraId="3E9D1158" w14:textId="47903D5A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Eurex (EUX) Pro</w:t>
            </w:r>
          </w:p>
        </w:tc>
        <w:tc>
          <w:tcPr>
            <w:tcW w:w="450" w:type="dxa"/>
            <w:vAlign w:val="center"/>
          </w:tcPr>
          <w:p w14:paraId="2AAF36CF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1ED674E0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244E6867" w14:textId="26FDD62C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6F0805A4" w14:textId="730E1C7D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(L1/2)</w:t>
            </w:r>
          </w:p>
        </w:tc>
      </w:tr>
      <w:tr w:rsidR="00791E10" w:rsidRPr="00CA3186" w14:paraId="714992BD" w14:textId="77777777" w:rsidTr="006075A8">
        <w:trPr>
          <w:trHeight w:val="20"/>
        </w:trPr>
        <w:tc>
          <w:tcPr>
            <w:tcW w:w="2958" w:type="dxa"/>
            <w:noWrap/>
            <w:vAlign w:val="center"/>
          </w:tcPr>
          <w:p w14:paraId="16AC519C" w14:textId="77777777" w:rsidR="00791E10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Euronext Cash </w:t>
            </w:r>
            <w:r w:rsidRPr="00CA3186">
              <w:rPr>
                <w:rFonts w:cstheme="minorHAnsi"/>
                <w:b/>
                <w:sz w:val="18"/>
                <w:szCs w:val="18"/>
              </w:rPr>
              <w:t>(PAR)</w:t>
            </w:r>
          </w:p>
          <w:p w14:paraId="63A922AB" w14:textId="427C4573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EC0219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EC0219">
              <w:rPr>
                <w:rFonts w:cstheme="minorHAnsi"/>
                <w:b/>
                <w:sz w:val="18"/>
                <w:szCs w:val="18"/>
              </w:rPr>
              <w:t>includes</w:t>
            </w:r>
            <w:proofErr w:type="gramEnd"/>
            <w:r w:rsidRPr="00EC0219">
              <w:rPr>
                <w:rFonts w:cstheme="minorHAnsi"/>
                <w:b/>
                <w:sz w:val="18"/>
                <w:szCs w:val="18"/>
              </w:rPr>
              <w:t xml:space="preserve"> PAR + BRU + AMS + LIS)</w:t>
            </w:r>
          </w:p>
        </w:tc>
        <w:tc>
          <w:tcPr>
            <w:tcW w:w="450" w:type="dxa"/>
            <w:vAlign w:val="center"/>
          </w:tcPr>
          <w:p w14:paraId="6AA3E91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2D31F19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700D3C30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46CAE896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791E10" w:rsidRPr="00CA3186" w14:paraId="0212F785" w14:textId="77777777" w:rsidTr="00EF4B5D">
        <w:trPr>
          <w:trHeight w:val="627"/>
        </w:trPr>
        <w:tc>
          <w:tcPr>
            <w:tcW w:w="2958" w:type="dxa"/>
            <w:shd w:val="clear" w:color="auto" w:fill="auto"/>
            <w:noWrap/>
            <w:vAlign w:val="center"/>
          </w:tcPr>
          <w:p w14:paraId="2E8F4B1B" w14:textId="5A87A3D3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Euronext Cash Delayed (PAR)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914E3">
              <w:rPr>
                <w:rFonts w:cstheme="minorHAnsi"/>
                <w:b/>
                <w:sz w:val="18"/>
                <w:szCs w:val="18"/>
              </w:rPr>
              <w:t>(includes PAR + BRU + AMS + LIS)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411AC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3EAC570C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49447A4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78D4813" w14:textId="32CFB36C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791E10" w:rsidRPr="00CA3186" w14:paraId="1A257145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2CAE4B1C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Euronext Commodities Derivatives Service (NXC)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58447F1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EC8C01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667D2C0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B0E2EC7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(L1)</w:t>
            </w:r>
          </w:p>
        </w:tc>
      </w:tr>
      <w:tr w:rsidR="00791E10" w:rsidRPr="00CA3186" w14:paraId="13A51FAD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297729FA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Euronext Commodities Derivatives </w:t>
            </w:r>
            <w:proofErr w:type="gramStart"/>
            <w:r w:rsidRPr="00CA3186">
              <w:rPr>
                <w:rFonts w:cstheme="minorHAnsi"/>
                <w:b/>
                <w:sz w:val="18"/>
                <w:szCs w:val="18"/>
              </w:rPr>
              <w:t>Service  Delayed</w:t>
            </w:r>
            <w:proofErr w:type="gramEnd"/>
            <w:r w:rsidRPr="00CA3186">
              <w:rPr>
                <w:rFonts w:cstheme="minorHAnsi"/>
                <w:b/>
                <w:sz w:val="18"/>
                <w:szCs w:val="18"/>
              </w:rPr>
              <w:t xml:space="preserve"> (NXC)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92215A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016691E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6CB5B3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27668F5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  <w:r w:rsidRPr="00CA3186">
              <w:rPr>
                <w:b/>
                <w:sz w:val="16"/>
                <w:szCs w:val="16"/>
              </w:rPr>
              <w:t>(L1/2)</w:t>
            </w:r>
          </w:p>
        </w:tc>
      </w:tr>
      <w:tr w:rsidR="00791E10" w:rsidRPr="00CA3186" w14:paraId="056DDF80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5A9E62DE" w14:textId="7E4547C8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Euronext </w:t>
            </w: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Liffe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Equi</w:t>
            </w:r>
            <w:r>
              <w:rPr>
                <w:rFonts w:cstheme="minorHAnsi"/>
                <w:b/>
                <w:sz w:val="18"/>
                <w:szCs w:val="18"/>
              </w:rPr>
              <w:t xml:space="preserve">ties and Index Derivatives BBO </w:t>
            </w:r>
            <w:r w:rsidRPr="00CA3186">
              <w:rPr>
                <w:rFonts w:cstheme="minorHAnsi"/>
                <w:b/>
                <w:sz w:val="18"/>
                <w:szCs w:val="18"/>
              </w:rPr>
              <w:t>(LIF)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943CE5F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950BF53" w14:textId="77777777" w:rsidR="00791E10" w:rsidRPr="00CA3186" w:rsidDel="00AE7C87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9C87817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AB3F940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3186">
              <w:rPr>
                <w:rFonts w:cstheme="minorHAnsi"/>
                <w:b/>
                <w:sz w:val="16"/>
                <w:szCs w:val="16"/>
              </w:rPr>
              <w:t>(L1)</w:t>
            </w:r>
          </w:p>
        </w:tc>
      </w:tr>
      <w:tr w:rsidR="00791E10" w:rsidRPr="00CA3186" w14:paraId="0D52230D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6323DD68" w14:textId="7488418A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 xml:space="preserve">Euronext </w:t>
            </w:r>
            <w:proofErr w:type="spellStart"/>
            <w:r w:rsidRPr="00CA3186">
              <w:rPr>
                <w:rFonts w:cstheme="minorHAnsi"/>
                <w:b/>
                <w:sz w:val="18"/>
                <w:szCs w:val="18"/>
              </w:rPr>
              <w:t>Liffe</w:t>
            </w:r>
            <w:proofErr w:type="spellEnd"/>
            <w:r w:rsidRPr="00CA3186">
              <w:rPr>
                <w:rFonts w:cstheme="minorHAnsi"/>
                <w:b/>
                <w:sz w:val="18"/>
                <w:szCs w:val="18"/>
              </w:rPr>
              <w:t xml:space="preserve"> Equ</w:t>
            </w:r>
            <w:r>
              <w:rPr>
                <w:rFonts w:cstheme="minorHAnsi"/>
                <w:b/>
                <w:sz w:val="18"/>
                <w:szCs w:val="18"/>
              </w:rPr>
              <w:t>ities and Index Derivatives BBO</w:t>
            </w:r>
            <w:r w:rsidRPr="00CA3186">
              <w:rPr>
                <w:rFonts w:cstheme="minorHAnsi"/>
                <w:b/>
                <w:sz w:val="18"/>
                <w:szCs w:val="18"/>
              </w:rPr>
              <w:t xml:space="preserve"> (LIF)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1F1C98D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3CE2034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75B66000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08DDC87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3186">
              <w:rPr>
                <w:rFonts w:cstheme="minorHAnsi"/>
                <w:b/>
                <w:sz w:val="16"/>
                <w:szCs w:val="16"/>
              </w:rPr>
              <w:t>(L1/2)</w:t>
            </w:r>
          </w:p>
        </w:tc>
      </w:tr>
      <w:tr w:rsidR="009C3C65" w:rsidRPr="00CA3186" w14:paraId="5BF6143A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4D9A3F02" w14:textId="77777777" w:rsidR="009C3C65" w:rsidRPr="00C82006" w:rsidRDefault="009C3C65" w:rsidP="009C3C65">
            <w:pPr>
              <w:spacing w:line="280" w:lineRule="exact"/>
              <w:rPr>
                <w:rFonts w:cstheme="minorHAnsi"/>
                <w:b/>
                <w:sz w:val="17"/>
                <w:szCs w:val="17"/>
              </w:rPr>
            </w:pPr>
            <w:r w:rsidRPr="00C82006">
              <w:rPr>
                <w:rFonts w:cstheme="minorHAnsi"/>
                <w:b/>
                <w:sz w:val="17"/>
                <w:szCs w:val="17"/>
              </w:rPr>
              <w:t>Euronext Milan AAF, MOT, DER (MIL)</w:t>
            </w:r>
          </w:p>
          <w:p w14:paraId="7A23DBA2" w14:textId="31701EC6" w:rsidR="009C3C65" w:rsidRPr="00CA3186" w:rsidRDefault="009C3C65" w:rsidP="009C3C65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*(previously Borsa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Italiana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CADBC34" w14:textId="35594CC0" w:rsidR="009C3C65" w:rsidRPr="00CA3186" w:rsidRDefault="009C3C65" w:rsidP="009C3C65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019F586" w14:textId="77777777" w:rsidR="009C3C65" w:rsidRPr="00CA3186" w:rsidRDefault="009C3C65" w:rsidP="009C3C65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3EECFF54" w14:textId="3DE22BC8" w:rsidR="009C3C65" w:rsidRPr="00CA3186" w:rsidRDefault="009C3C65" w:rsidP="009C3C65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50C17B4" w14:textId="77777777" w:rsidR="009C3C65" w:rsidRPr="00CA3186" w:rsidRDefault="009C3C65" w:rsidP="009C3C65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C3C65" w:rsidRPr="00CA3186" w14:paraId="3D219B20" w14:textId="77777777" w:rsidTr="006075A8">
        <w:trPr>
          <w:trHeight w:val="20"/>
        </w:trPr>
        <w:tc>
          <w:tcPr>
            <w:tcW w:w="2958" w:type="dxa"/>
            <w:shd w:val="clear" w:color="auto" w:fill="auto"/>
            <w:noWrap/>
            <w:vAlign w:val="center"/>
          </w:tcPr>
          <w:p w14:paraId="0415D813" w14:textId="28B65CD1" w:rsidR="009C3C65" w:rsidRPr="00CA3186" w:rsidRDefault="009C3C65" w:rsidP="009C3C65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Euronext Milan Trading After Hours (MIA)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0EF9AA" w14:textId="77138A80" w:rsidR="009C3C65" w:rsidRPr="00CA3186" w:rsidRDefault="009C3C65" w:rsidP="009C3C65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A8CC168" w14:textId="77777777" w:rsidR="009C3C65" w:rsidRPr="00CA3186" w:rsidRDefault="009C3C65" w:rsidP="009C3C65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4E473AB" w14:textId="43B542C4" w:rsidR="009C3C65" w:rsidRPr="00CA3186" w:rsidRDefault="009C3C65" w:rsidP="009C3C65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B364C81" w14:textId="77777777" w:rsidR="009C3C65" w:rsidRPr="00CA3186" w:rsidRDefault="009C3C65" w:rsidP="009C3C65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2C5347A8" w14:textId="77777777" w:rsidTr="006075A8">
        <w:trPr>
          <w:trHeight w:val="20"/>
        </w:trPr>
        <w:tc>
          <w:tcPr>
            <w:tcW w:w="2958" w:type="dxa"/>
            <w:noWrap/>
          </w:tcPr>
          <w:p w14:paraId="231774E1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Euronext Private Investor Package (PAR)</w:t>
            </w:r>
          </w:p>
        </w:tc>
        <w:tc>
          <w:tcPr>
            <w:tcW w:w="450" w:type="dxa"/>
          </w:tcPr>
          <w:p w14:paraId="55EB9655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49F3165E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0DADE5AC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6350C2EF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18E844FB" w14:textId="77777777" w:rsidTr="006075A8">
        <w:trPr>
          <w:trHeight w:val="20"/>
        </w:trPr>
        <w:tc>
          <w:tcPr>
            <w:tcW w:w="2958" w:type="dxa"/>
            <w:noWrap/>
          </w:tcPr>
          <w:p w14:paraId="11F0C30A" w14:textId="4BD10312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Euronext Pr</w:t>
            </w:r>
            <w:r>
              <w:rPr>
                <w:rFonts w:cstheme="minorHAnsi"/>
                <w:b/>
                <w:sz w:val="18"/>
                <w:szCs w:val="18"/>
              </w:rPr>
              <w:t xml:space="preserve">ivate Investor Package Delayed </w:t>
            </w:r>
            <w:r w:rsidRPr="00CA3186">
              <w:rPr>
                <w:rFonts w:cstheme="minorHAnsi"/>
                <w:b/>
                <w:sz w:val="18"/>
                <w:szCs w:val="18"/>
              </w:rPr>
              <w:t>(PAR)</w:t>
            </w:r>
          </w:p>
        </w:tc>
        <w:tc>
          <w:tcPr>
            <w:tcW w:w="450" w:type="dxa"/>
          </w:tcPr>
          <w:p w14:paraId="5C77034A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5CC6119C" w14:textId="77777777" w:rsidR="00791E10" w:rsidRPr="00CA3186" w:rsidDel="005F1569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59E84CF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1D59CBB3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5D6E60C3" w14:textId="77777777" w:rsidTr="006075A8">
        <w:trPr>
          <w:trHeight w:val="20"/>
        </w:trPr>
        <w:tc>
          <w:tcPr>
            <w:tcW w:w="2958" w:type="dxa"/>
            <w:noWrap/>
          </w:tcPr>
          <w:p w14:paraId="21AB1871" w14:textId="4A7C98A8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Euronext P</w:t>
            </w:r>
            <w:r>
              <w:rPr>
                <w:rFonts w:cstheme="minorHAnsi"/>
                <w:b/>
                <w:sz w:val="18"/>
                <w:szCs w:val="18"/>
              </w:rPr>
              <w:t>rivate Investor Package Delayed</w:t>
            </w:r>
            <w:r w:rsidRPr="00CA3186">
              <w:rPr>
                <w:rFonts w:cstheme="minorHAnsi"/>
                <w:b/>
                <w:sz w:val="18"/>
                <w:szCs w:val="18"/>
              </w:rPr>
              <w:t xml:space="preserve"> (PAR)</w:t>
            </w:r>
          </w:p>
        </w:tc>
        <w:tc>
          <w:tcPr>
            <w:tcW w:w="450" w:type="dxa"/>
          </w:tcPr>
          <w:p w14:paraId="3BD576ED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07402DB4" w14:textId="77777777" w:rsidR="00791E10" w:rsidRPr="00CA3186" w:rsidDel="005F1569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4426106E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03513517" w14:textId="77777777" w:rsidR="00791E10" w:rsidRPr="00CA3186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78516FB7" w14:textId="77777777" w:rsidTr="006075A8">
        <w:trPr>
          <w:trHeight w:val="659"/>
        </w:trPr>
        <w:tc>
          <w:tcPr>
            <w:tcW w:w="2958" w:type="dxa"/>
            <w:shd w:val="clear" w:color="auto" w:fill="auto"/>
            <w:noWrap/>
            <w:vAlign w:val="center"/>
          </w:tcPr>
          <w:p w14:paraId="1F87BDB6" w14:textId="38791DB7" w:rsidR="00791E10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F444AA">
              <w:rPr>
                <w:rFonts w:cstheme="minorHAnsi"/>
                <w:b/>
                <w:sz w:val="16"/>
                <w:szCs w:val="16"/>
              </w:rPr>
              <w:t>European Virtual Aggregated Book MIFID Level 2 (</w:t>
            </w:r>
            <w:proofErr w:type="spellStart"/>
            <w:r w:rsidRPr="00F444AA">
              <w:rPr>
                <w:rFonts w:cstheme="minorHAnsi"/>
                <w:b/>
                <w:sz w:val="16"/>
                <w:szCs w:val="16"/>
              </w:rPr>
              <w:t>EuroVAB</w:t>
            </w:r>
            <w:proofErr w:type="spellEnd"/>
            <w:r w:rsidRPr="00F444AA">
              <w:rPr>
                <w:rFonts w:cstheme="minorHAnsi"/>
                <w:b/>
                <w:sz w:val="16"/>
                <w:szCs w:val="16"/>
              </w:rPr>
              <w:t xml:space="preserve">®) (Note: </w:t>
            </w:r>
            <w:proofErr w:type="spellStart"/>
            <w:r w:rsidRPr="00F444AA">
              <w:rPr>
                <w:rFonts w:cstheme="minorHAnsi"/>
                <w:b/>
                <w:sz w:val="16"/>
                <w:szCs w:val="16"/>
              </w:rPr>
              <w:t>EuroVAB</w:t>
            </w:r>
            <w:proofErr w:type="spellEnd"/>
            <w:r w:rsidRPr="00F444AA">
              <w:rPr>
                <w:rFonts w:cstheme="minorHAnsi"/>
                <w:b/>
                <w:sz w:val="16"/>
                <w:szCs w:val="16"/>
              </w:rPr>
              <w:t xml:space="preserve">® requires subscription to certain European Sources marked with an asterisk: Athens Stock Exchange L1, BATS Chi-Ex Europe L1, Borsa </w:t>
            </w:r>
            <w:proofErr w:type="spellStart"/>
            <w:r w:rsidRPr="00F444AA">
              <w:rPr>
                <w:rFonts w:cstheme="minorHAnsi"/>
                <w:b/>
                <w:sz w:val="16"/>
                <w:szCs w:val="16"/>
              </w:rPr>
              <w:t>Italiana</w:t>
            </w:r>
            <w:proofErr w:type="spellEnd"/>
            <w:r w:rsidRPr="00F444AA">
              <w:rPr>
                <w:rFonts w:cstheme="minorHAnsi"/>
                <w:b/>
                <w:sz w:val="16"/>
                <w:szCs w:val="16"/>
              </w:rPr>
              <w:t xml:space="preserve"> AFF and DER L1, Budapest Stock Exchange, German Regional Exchanges, German Spot Market, Euronext Cash L1,  LSE International Order Book L1, OMX Nordic Derivatives L1, Oslo </w:t>
            </w:r>
            <w:proofErr w:type="spellStart"/>
            <w:r w:rsidRPr="00F444AA">
              <w:rPr>
                <w:rFonts w:cstheme="minorHAnsi"/>
                <w:b/>
                <w:sz w:val="16"/>
                <w:szCs w:val="16"/>
              </w:rPr>
              <w:t>Børs</w:t>
            </w:r>
            <w:proofErr w:type="spellEnd"/>
            <w:r w:rsidRPr="00F444AA">
              <w:rPr>
                <w:rFonts w:cstheme="minorHAnsi"/>
                <w:b/>
                <w:sz w:val="16"/>
                <w:szCs w:val="16"/>
              </w:rPr>
              <w:t xml:space="preserve"> Level 1, Prague Stock Exchange L1, SWX-</w:t>
            </w:r>
            <w:proofErr w:type="spellStart"/>
            <w:r w:rsidRPr="00F444AA">
              <w:rPr>
                <w:rFonts w:cstheme="minorHAnsi"/>
                <w:b/>
                <w:sz w:val="16"/>
                <w:szCs w:val="16"/>
              </w:rPr>
              <w:t>virt</w:t>
            </w:r>
            <w:proofErr w:type="spellEnd"/>
            <w:r w:rsidRPr="00F444AA">
              <w:rPr>
                <w:rFonts w:cstheme="minorHAnsi"/>
                <w:b/>
                <w:sz w:val="16"/>
                <w:szCs w:val="16"/>
              </w:rPr>
              <w:t>-x L1, Turquoise L1, Vienna Stocks - Wiener Borse L1, Warsaw Stock Exchange (EUR)</w:t>
            </w:r>
          </w:p>
          <w:p w14:paraId="3585AD02" w14:textId="77777777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644B00EA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A3186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2C6EED05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687B4C1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86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CA318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0F2E2516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791E10" w:rsidRPr="00CA3186" w14:paraId="6DAD0363" w14:textId="77777777" w:rsidTr="006075A8">
        <w:trPr>
          <w:trHeight w:val="20"/>
        </w:trPr>
        <w:tc>
          <w:tcPr>
            <w:tcW w:w="2958" w:type="dxa"/>
            <w:shd w:val="clear" w:color="auto" w:fill="D9D9D9" w:themeFill="background1" w:themeFillShade="D9"/>
            <w:noWrap/>
            <w:vAlign w:val="center"/>
          </w:tcPr>
          <w:p w14:paraId="23158F8A" w14:textId="7AC2CA59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NAME OF DATA PRODUCT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307907" w14:textId="1DD9B0D2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179FB77E" w14:textId="43611EC3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654F2E38" w14:textId="7FE5FAB3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29AD0531" w14:textId="34CF9964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CA3186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791E10" w:rsidRPr="00CA3186" w14:paraId="03861994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142304BA" w14:textId="5D25B004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ICE 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Liffe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Futures Europe (ICE)</w:t>
            </w:r>
          </w:p>
        </w:tc>
        <w:tc>
          <w:tcPr>
            <w:tcW w:w="450" w:type="dxa"/>
          </w:tcPr>
          <w:p w14:paraId="1E791F07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27A7FFA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73074E4E" w14:textId="09DE834A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7A53FFB7" w14:textId="385F6EB2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 w:rsidRPr="00AD3518">
              <w:rPr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5D46639C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09A8B65E" w14:textId="40268113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ICE Futures Europe-Financials (LFF)</w:t>
            </w:r>
          </w:p>
        </w:tc>
        <w:tc>
          <w:tcPr>
            <w:tcW w:w="450" w:type="dxa"/>
          </w:tcPr>
          <w:p w14:paraId="2868F856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5E0BB9F5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02E9C71F" w14:textId="19692BCE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5D889EF1" w14:textId="425369A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561F6AC7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31F679C8" w14:textId="29ED9EAA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ICE ENDEX (ENX)</w:t>
            </w:r>
          </w:p>
        </w:tc>
        <w:tc>
          <w:tcPr>
            <w:tcW w:w="450" w:type="dxa"/>
          </w:tcPr>
          <w:p w14:paraId="57AAC41F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4D32CAA1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0945583" w14:textId="2690C01A" w:rsidR="00791E10" w:rsidRPr="00AD3518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45A13FF5" w14:textId="1A266609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2F7FC0D9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7C129A5B" w14:textId="4DFDC67D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ICE Futures US (NYB)</w:t>
            </w:r>
          </w:p>
        </w:tc>
        <w:tc>
          <w:tcPr>
            <w:tcW w:w="450" w:type="dxa"/>
          </w:tcPr>
          <w:p w14:paraId="70B888F8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726B924B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23D83F5C" w14:textId="72941A35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3A03667E" w14:textId="47B133CB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5700B171" w14:textId="77777777" w:rsidTr="000D7688">
        <w:trPr>
          <w:trHeight w:val="144"/>
        </w:trPr>
        <w:tc>
          <w:tcPr>
            <w:tcW w:w="2958" w:type="dxa"/>
            <w:shd w:val="clear" w:color="auto" w:fill="auto"/>
            <w:noWrap/>
            <w:vAlign w:val="center"/>
          </w:tcPr>
          <w:p w14:paraId="520703D1" w14:textId="39DA783A" w:rsidR="00791E10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ICE Futures Canada (ICN)</w:t>
            </w:r>
          </w:p>
        </w:tc>
        <w:tc>
          <w:tcPr>
            <w:tcW w:w="450" w:type="dxa"/>
            <w:vAlign w:val="center"/>
          </w:tcPr>
          <w:p w14:paraId="722A4F80" w14:textId="7777777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5C38D4E3" w14:textId="599CF8D8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14:paraId="0B4BFE2E" w14:textId="201D30B7" w:rsidR="00791E10" w:rsidRPr="00AD3518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vAlign w:val="center"/>
          </w:tcPr>
          <w:p w14:paraId="7D62EBE5" w14:textId="6237C67B" w:rsidR="00791E10" w:rsidRPr="00AD3518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721AEDB8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743C9A8C" w14:textId="46A8ABED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Irish Stock Exchange </w:t>
            </w:r>
            <w:r w:rsidRPr="00AD3518">
              <w:rPr>
                <w:rFonts w:cstheme="minorHAnsi"/>
                <w:b/>
                <w:sz w:val="18"/>
                <w:szCs w:val="18"/>
              </w:rPr>
              <w:t>(IRS)</w:t>
            </w:r>
          </w:p>
        </w:tc>
        <w:tc>
          <w:tcPr>
            <w:tcW w:w="450" w:type="dxa"/>
          </w:tcPr>
          <w:p w14:paraId="5401F514" w14:textId="049EB167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6A23E2CB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7DC0807A" w14:textId="5D72563A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5D0DB663" w14:textId="392AF20F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76A573B1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059377C9" w14:textId="21E0736F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Johannesburg Indices (JNI)</w:t>
            </w:r>
          </w:p>
        </w:tc>
        <w:tc>
          <w:tcPr>
            <w:tcW w:w="450" w:type="dxa"/>
          </w:tcPr>
          <w:p w14:paraId="0566FC7E" w14:textId="3AB9347A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5AF1102A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6D060368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1ABD990E" w14:textId="6E1F0D46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4A13E128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56A6116A" w14:textId="384D3848" w:rsidR="00791E10" w:rsidRPr="00F444AA" w:rsidRDefault="00791E10" w:rsidP="00791E10">
            <w:pPr>
              <w:spacing w:line="180" w:lineRule="exact"/>
              <w:rPr>
                <w:rFonts w:cstheme="minorHAnsi"/>
                <w:b/>
                <w:sz w:val="16"/>
                <w:szCs w:val="16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Johannesburg Stock Exchange (JNB)</w:t>
            </w:r>
          </w:p>
        </w:tc>
        <w:tc>
          <w:tcPr>
            <w:tcW w:w="450" w:type="dxa"/>
          </w:tcPr>
          <w:p w14:paraId="3BF6F855" w14:textId="0574F3C2" w:rsidR="00791E10" w:rsidRPr="00CA3186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0CA1B324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26232E3" w14:textId="72B80588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7C46FAE3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791E10" w:rsidRPr="00CA3186" w14:paraId="5F3F2895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1B75EE02" w14:textId="259DF303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LME (Not available with the Eze OMS.) (LME)</w:t>
            </w:r>
          </w:p>
        </w:tc>
        <w:tc>
          <w:tcPr>
            <w:tcW w:w="450" w:type="dxa"/>
          </w:tcPr>
          <w:p w14:paraId="163870CF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0E4C83E1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286BF793" w14:textId="37807B0E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51059C04" w14:textId="56FD8E11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t xml:space="preserve"> </w:t>
            </w: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91E10" w:rsidRPr="00CA3186" w14:paraId="564872C0" w14:textId="77777777" w:rsidTr="00BF7E1E">
        <w:trPr>
          <w:trHeight w:val="402"/>
        </w:trPr>
        <w:tc>
          <w:tcPr>
            <w:tcW w:w="2958" w:type="dxa"/>
            <w:shd w:val="clear" w:color="auto" w:fill="auto"/>
            <w:noWrap/>
          </w:tcPr>
          <w:p w14:paraId="089BFA54" w14:textId="5F9903E4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LSE International (SQ1)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E3177">
              <w:rPr>
                <w:rFonts w:cstheme="minorHAnsi"/>
                <w:b/>
                <w:sz w:val="16"/>
                <w:szCs w:val="16"/>
              </w:rPr>
              <w:t xml:space="preserve">*Not available with </w:t>
            </w:r>
            <w:r>
              <w:rPr>
                <w:rFonts w:cstheme="minorHAnsi"/>
                <w:b/>
                <w:sz w:val="16"/>
                <w:szCs w:val="16"/>
              </w:rPr>
              <w:t xml:space="preserve">Eze EMS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UltraLite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RealTick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UltraLite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14:paraId="62DF0EBA" w14:textId="2D740BEE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2244E7D7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487ED6A8" w14:textId="57FA877F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44FDC3AC" w14:textId="412CEB6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09BFD648" w14:textId="77777777" w:rsidTr="00BF7E1E">
        <w:trPr>
          <w:trHeight w:val="438"/>
        </w:trPr>
        <w:tc>
          <w:tcPr>
            <w:tcW w:w="2958" w:type="dxa"/>
            <w:shd w:val="clear" w:color="auto" w:fill="auto"/>
            <w:noWrap/>
          </w:tcPr>
          <w:p w14:paraId="0B9FBFE3" w14:textId="0C372CE7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London Stock Exchange</w:t>
            </w:r>
            <w:r w:rsidRPr="00AD3518">
              <w:rPr>
                <w:rFonts w:cstheme="minorHAnsi"/>
                <w:b/>
                <w:sz w:val="18"/>
                <w:szCs w:val="18"/>
              </w:rPr>
              <w:t xml:space="preserve"> (LSE)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A01A6">
              <w:rPr>
                <w:rFonts w:cstheme="minorHAnsi"/>
                <w:b/>
                <w:sz w:val="16"/>
                <w:szCs w:val="16"/>
              </w:rPr>
              <w:t xml:space="preserve">*Not available with </w:t>
            </w:r>
            <w:r>
              <w:rPr>
                <w:rFonts w:cstheme="minorHAnsi"/>
                <w:b/>
                <w:sz w:val="16"/>
                <w:szCs w:val="16"/>
              </w:rPr>
              <w:t xml:space="preserve">Eze EMS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UltraLite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RealTick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UltraLite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450" w:type="dxa"/>
          </w:tcPr>
          <w:p w14:paraId="0A91122D" w14:textId="51CE7F75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7A73105A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2B473BE4" w14:textId="79FC9839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66D16295" w14:textId="6A68B20C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3942A46D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4379EF9D" w14:textId="4D837390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Madrid (MCE)</w:t>
            </w:r>
          </w:p>
        </w:tc>
        <w:tc>
          <w:tcPr>
            <w:tcW w:w="450" w:type="dxa"/>
          </w:tcPr>
          <w:p w14:paraId="37EA3BF8" w14:textId="46F54928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300B5C15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ED853F1" w14:textId="4B04684F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0C1914E1" w14:textId="0322844E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 w:rsidRPr="00AD3518">
              <w:rPr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16B1C2FD" w14:textId="77777777" w:rsidTr="00BF7E1E">
        <w:trPr>
          <w:trHeight w:val="420"/>
        </w:trPr>
        <w:tc>
          <w:tcPr>
            <w:tcW w:w="2958" w:type="dxa"/>
            <w:shd w:val="clear" w:color="auto" w:fill="auto"/>
            <w:noWrap/>
          </w:tcPr>
          <w:p w14:paraId="65982917" w14:textId="31A87A93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Madrid </w:t>
            </w:r>
            <w:r w:rsidRPr="00AD3518">
              <w:rPr>
                <w:rFonts w:cstheme="minorHAnsi"/>
                <w:b/>
                <w:sz w:val="18"/>
                <w:szCs w:val="18"/>
              </w:rPr>
              <w:t xml:space="preserve">and Continuous Market </w:t>
            </w:r>
            <w:proofErr w:type="gramStart"/>
            <w:r w:rsidRPr="00AD3518">
              <w:rPr>
                <w:rFonts w:cstheme="minorHAnsi"/>
                <w:b/>
                <w:sz w:val="18"/>
                <w:szCs w:val="18"/>
              </w:rPr>
              <w:t>Plus  (</w:t>
            </w:r>
            <w:proofErr w:type="gramEnd"/>
            <w:r w:rsidRPr="00AD3518">
              <w:rPr>
                <w:rFonts w:cstheme="minorHAnsi"/>
                <w:b/>
                <w:sz w:val="18"/>
                <w:szCs w:val="18"/>
              </w:rPr>
              <w:t>MCE)</w:t>
            </w:r>
          </w:p>
        </w:tc>
        <w:tc>
          <w:tcPr>
            <w:tcW w:w="450" w:type="dxa"/>
          </w:tcPr>
          <w:p w14:paraId="196D4556" w14:textId="01080411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1009A21A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5C9C7937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79E30E8A" w14:textId="77777777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791E10" w:rsidRPr="00CA3186" w14:paraId="3E431C3C" w14:textId="77777777" w:rsidTr="00BF7E1E">
        <w:trPr>
          <w:trHeight w:val="447"/>
        </w:trPr>
        <w:tc>
          <w:tcPr>
            <w:tcW w:w="2958" w:type="dxa"/>
            <w:shd w:val="clear" w:color="auto" w:fill="auto"/>
            <w:noWrap/>
          </w:tcPr>
          <w:p w14:paraId="31B14213" w14:textId="2E47FA2D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MEFF </w:t>
            </w:r>
            <w:r>
              <w:rPr>
                <w:rFonts w:cstheme="minorHAnsi"/>
                <w:b/>
                <w:sz w:val="18"/>
                <w:szCs w:val="18"/>
              </w:rPr>
              <w:t>Equities/</w:t>
            </w:r>
            <w:r w:rsidRPr="00AD3518">
              <w:rPr>
                <w:rFonts w:cstheme="minorHAnsi"/>
                <w:b/>
                <w:sz w:val="18"/>
                <w:szCs w:val="18"/>
              </w:rPr>
              <w:t>F</w:t>
            </w:r>
            <w:r>
              <w:rPr>
                <w:rFonts w:cstheme="minorHAnsi"/>
                <w:b/>
                <w:sz w:val="18"/>
                <w:szCs w:val="18"/>
              </w:rPr>
              <w:t xml:space="preserve">ixed Income </w:t>
            </w:r>
            <w:r w:rsidRPr="00AD3518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MRV</w:t>
            </w:r>
            <w:r w:rsidRPr="00AD351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14:paraId="78409210" w14:textId="5204AAFE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603074BC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DFB3321" w14:textId="684ECA9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68E542DE" w14:textId="79DD8CDD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5A62FD66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043CC225" w14:textId="77777777" w:rsidR="00791E10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Nordic Equity</w:t>
            </w:r>
            <w:r w:rsidRPr="00AD3518">
              <w:rPr>
                <w:rFonts w:cstheme="minorHAnsi"/>
                <w:b/>
                <w:sz w:val="18"/>
                <w:szCs w:val="18"/>
              </w:rPr>
              <w:t xml:space="preserve"> (CPH)</w:t>
            </w:r>
          </w:p>
          <w:p w14:paraId="0CB23E2B" w14:textId="0F310525" w:rsidR="00791E10" w:rsidRPr="00AD3518" w:rsidRDefault="00791E10" w:rsidP="00791E10">
            <w:pPr>
              <w:spacing w:line="1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Pr="009914E3">
              <w:rPr>
                <w:rFonts w:cstheme="minorHAnsi"/>
                <w:b/>
                <w:sz w:val="18"/>
                <w:szCs w:val="18"/>
              </w:rPr>
              <w:t>includes</w:t>
            </w:r>
            <w:proofErr w:type="gramEnd"/>
            <w:r w:rsidRPr="009914E3">
              <w:rPr>
                <w:rFonts w:cstheme="minorHAnsi"/>
                <w:b/>
                <w:sz w:val="18"/>
                <w:szCs w:val="18"/>
              </w:rPr>
              <w:t xml:space="preserve"> CHP + HEL + STO + ICX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</w:tcPr>
          <w:p w14:paraId="2D07B583" w14:textId="38AD0838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1BCB3DC8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5F0DD74E" w14:textId="61210FED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3109A746" w14:textId="4C6CF128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1A45BE3D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6C4422A7" w14:textId="1A5558CE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Nordic Equities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D3518">
              <w:rPr>
                <w:rFonts w:cstheme="minorHAnsi"/>
                <w:b/>
                <w:sz w:val="18"/>
                <w:szCs w:val="18"/>
              </w:rPr>
              <w:t>(CPH)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914E3">
              <w:rPr>
                <w:rFonts w:cstheme="minorHAnsi"/>
                <w:b/>
                <w:sz w:val="18"/>
                <w:szCs w:val="18"/>
              </w:rPr>
              <w:t>(includes CHP + HEL + STO + ICX)</w:t>
            </w:r>
          </w:p>
        </w:tc>
        <w:tc>
          <w:tcPr>
            <w:tcW w:w="450" w:type="dxa"/>
          </w:tcPr>
          <w:p w14:paraId="0CF24DD8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46A0FD9B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292E0E9C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66F32E57" w14:textId="5787877A" w:rsidR="00791E10" w:rsidRPr="00CA3186" w:rsidRDefault="00791E10" w:rsidP="00791E10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68CFB78D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3E906A0B" w14:textId="02549155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OMX Nordic Derivatives (NOD)</w:t>
            </w:r>
          </w:p>
        </w:tc>
        <w:tc>
          <w:tcPr>
            <w:tcW w:w="450" w:type="dxa"/>
          </w:tcPr>
          <w:p w14:paraId="45410009" w14:textId="015821DB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69AB4384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6A4A0E85" w14:textId="2D1775FA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361BEFEA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6CA1714D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571F5589" w14:textId="7815B0C2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Oslo 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Børs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(OSL)</w:t>
            </w:r>
          </w:p>
        </w:tc>
        <w:tc>
          <w:tcPr>
            <w:tcW w:w="450" w:type="dxa"/>
          </w:tcPr>
          <w:p w14:paraId="68215BA2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62C54126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44612CD7" w14:textId="732AF155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5F020C5F" w14:textId="51792CDC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0060ED5A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36A846C5" w14:textId="610614ED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Oslo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Børs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Delayed </w:t>
            </w:r>
            <w:r w:rsidRPr="00AD3518">
              <w:rPr>
                <w:rFonts w:cstheme="minorHAnsi"/>
                <w:b/>
                <w:sz w:val="18"/>
                <w:szCs w:val="18"/>
              </w:rPr>
              <w:t>(OSL)</w:t>
            </w:r>
          </w:p>
        </w:tc>
        <w:tc>
          <w:tcPr>
            <w:tcW w:w="450" w:type="dxa"/>
          </w:tcPr>
          <w:p w14:paraId="70AFC982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22D2672E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7CCD195D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6352F3D4" w14:textId="0929C6E1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(L2)</w:t>
            </w:r>
          </w:p>
        </w:tc>
      </w:tr>
      <w:tr w:rsidR="00791E10" w:rsidRPr="00CA3186" w14:paraId="4A34D952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475C4A43" w14:textId="22BF50D3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Prague Stock Exchange (PRG) </w:t>
            </w:r>
          </w:p>
        </w:tc>
        <w:tc>
          <w:tcPr>
            <w:tcW w:w="450" w:type="dxa"/>
          </w:tcPr>
          <w:p w14:paraId="3A99C86D" w14:textId="208C7324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38AAE081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0E7385B7" w14:textId="4729E04E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00DD7096" w14:textId="2C8EDAF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3F360FAE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74D5F000" w14:textId="7F730C45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Prague Stock Exchange Delayed (PRG) </w:t>
            </w:r>
          </w:p>
        </w:tc>
        <w:tc>
          <w:tcPr>
            <w:tcW w:w="450" w:type="dxa"/>
          </w:tcPr>
          <w:p w14:paraId="4E651740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1739D7C8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2117CBDB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28F44CE1" w14:textId="7BAAAB66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4D51B3D4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14ADD44A" w14:textId="5D7E5D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South African Futures Exchange (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Safex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>) (SAF)</w:t>
            </w:r>
          </w:p>
        </w:tc>
        <w:tc>
          <w:tcPr>
            <w:tcW w:w="450" w:type="dxa"/>
          </w:tcPr>
          <w:p w14:paraId="6BB5D16E" w14:textId="53D49058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39304BCB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0CD874B4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6701DB94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73028BE5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0115A755" w14:textId="1CB27250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Stuttgart Stock Exchange (STU)</w:t>
            </w:r>
          </w:p>
        </w:tc>
        <w:tc>
          <w:tcPr>
            <w:tcW w:w="450" w:type="dxa"/>
          </w:tcPr>
          <w:p w14:paraId="36C10E9E" w14:textId="04D82196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275AA538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5B810A18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006D0FC4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4616B301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6FD6B3D5" w14:textId="728D25A5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SWX-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virt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>-x (SWX)</w:t>
            </w:r>
          </w:p>
        </w:tc>
        <w:tc>
          <w:tcPr>
            <w:tcW w:w="450" w:type="dxa"/>
          </w:tcPr>
          <w:p w14:paraId="1ABDD7FC" w14:textId="2BEA26F3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00139DB7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0B962DAE" w14:textId="50E5036E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1B632888" w14:textId="7CC173EA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791E10" w:rsidRPr="00CA3186" w14:paraId="147E90B9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4BA732FF" w14:textId="2488D9DC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SWX-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virt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-x Delayed </w:t>
            </w:r>
            <w:proofErr w:type="gramStart"/>
            <w:r w:rsidRPr="00AD3518">
              <w:rPr>
                <w:rFonts w:cstheme="minorHAnsi"/>
                <w:b/>
                <w:sz w:val="18"/>
                <w:szCs w:val="18"/>
              </w:rPr>
              <w:t>Level(</w:t>
            </w:r>
            <w:proofErr w:type="gramEnd"/>
            <w:r w:rsidRPr="00AD3518">
              <w:rPr>
                <w:rFonts w:cstheme="minorHAnsi"/>
                <w:b/>
                <w:sz w:val="18"/>
                <w:szCs w:val="18"/>
              </w:rPr>
              <w:t>SWX)</w:t>
            </w:r>
          </w:p>
        </w:tc>
        <w:tc>
          <w:tcPr>
            <w:tcW w:w="450" w:type="dxa"/>
          </w:tcPr>
          <w:p w14:paraId="685C47F6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374194B7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69F2FCFB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29E0147C" w14:textId="311A9E85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(L1/2)</w:t>
            </w:r>
          </w:p>
        </w:tc>
      </w:tr>
      <w:tr w:rsidR="00791E10" w:rsidRPr="00CA3186" w14:paraId="28C29DD0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6C325385" w14:textId="654026BC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Tel Aviv Stock Exchange (TAV)</w:t>
            </w:r>
          </w:p>
        </w:tc>
        <w:tc>
          <w:tcPr>
            <w:tcW w:w="450" w:type="dxa"/>
          </w:tcPr>
          <w:p w14:paraId="61BAFB98" w14:textId="4D1828FD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</w:tcPr>
          <w:p w14:paraId="5D52CDCF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4CAE6500" w14:textId="04231655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596592EE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50505366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3C12A4B2" w14:textId="49E95F1B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Turquoise (TRQ)</w:t>
            </w:r>
          </w:p>
        </w:tc>
        <w:tc>
          <w:tcPr>
            <w:tcW w:w="450" w:type="dxa"/>
          </w:tcPr>
          <w:p w14:paraId="324523B8" w14:textId="18F25E4F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217828A1" w14:textId="2518CBD3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</w:tcPr>
          <w:p w14:paraId="19BB79B7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4839110F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0609C9F4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70C8EB41" w14:textId="4350304C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Vienna Derivatives Market (VIF) Professional Users Only</w:t>
            </w:r>
          </w:p>
        </w:tc>
        <w:tc>
          <w:tcPr>
            <w:tcW w:w="450" w:type="dxa"/>
          </w:tcPr>
          <w:p w14:paraId="66F60C08" w14:textId="7659BADC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08386CA5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77ACB255" w14:textId="6B626F4C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37425027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033598DB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40FF860E" w14:textId="60312682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Vienna Stocks - Wiener </w:t>
            </w:r>
            <w:proofErr w:type="gramStart"/>
            <w:r w:rsidRPr="00AD3518">
              <w:rPr>
                <w:rFonts w:cstheme="minorHAnsi"/>
                <w:b/>
                <w:sz w:val="18"/>
                <w:szCs w:val="18"/>
              </w:rPr>
              <w:t>Borse  (</w:t>
            </w:r>
            <w:proofErr w:type="gramEnd"/>
            <w:r w:rsidRPr="00AD3518">
              <w:rPr>
                <w:rFonts w:cstheme="minorHAnsi"/>
                <w:b/>
                <w:sz w:val="18"/>
                <w:szCs w:val="18"/>
              </w:rPr>
              <w:t>VIE)</w:t>
            </w:r>
          </w:p>
        </w:tc>
        <w:tc>
          <w:tcPr>
            <w:tcW w:w="450" w:type="dxa"/>
          </w:tcPr>
          <w:p w14:paraId="25C694DD" w14:textId="589F215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4E49AA97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7B22478E" w14:textId="6BCEF7D2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</w:tcPr>
          <w:p w14:paraId="6D201795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1E10" w:rsidRPr="00CA3186" w14:paraId="297E0CFA" w14:textId="77777777" w:rsidTr="006075A8">
        <w:trPr>
          <w:trHeight w:val="144"/>
        </w:trPr>
        <w:tc>
          <w:tcPr>
            <w:tcW w:w="2958" w:type="dxa"/>
            <w:shd w:val="clear" w:color="auto" w:fill="auto"/>
            <w:noWrap/>
          </w:tcPr>
          <w:p w14:paraId="2830A04B" w14:textId="7E061EBC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Warsaw Stock Exchange (WSE)</w:t>
            </w:r>
          </w:p>
        </w:tc>
        <w:tc>
          <w:tcPr>
            <w:tcW w:w="450" w:type="dxa"/>
          </w:tcPr>
          <w:p w14:paraId="6C82300A" w14:textId="4BD5FE6B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</w:tcPr>
          <w:p w14:paraId="5979E4D2" w14:textId="77777777" w:rsidR="00791E10" w:rsidRPr="00CA3186" w:rsidRDefault="00791E10" w:rsidP="00791E1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14:paraId="344C296D" w14:textId="77777777" w:rsidR="00791E10" w:rsidRPr="00AD3518" w:rsidRDefault="00791E10" w:rsidP="00791E1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03" w:type="dxa"/>
          </w:tcPr>
          <w:p w14:paraId="68DE0BF8" w14:textId="77777777" w:rsidR="00791E10" w:rsidRPr="00AD3518" w:rsidRDefault="00791E10" w:rsidP="00791E1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B6F050F" w14:textId="259F1553" w:rsidR="00BA1C7E" w:rsidRDefault="00BA1C7E" w:rsidP="002E58E5">
      <w:pPr>
        <w:spacing w:line="280" w:lineRule="atLeast"/>
        <w:rPr>
          <w:b/>
          <w:bCs/>
          <w:sz w:val="21"/>
          <w:szCs w:val="21"/>
        </w:rPr>
        <w:sectPr w:rsidR="00BA1C7E" w:rsidSect="001B7D0A">
          <w:headerReference w:type="default" r:id="rId18"/>
          <w:type w:val="continuous"/>
          <w:pgSz w:w="12240" w:h="15840"/>
          <w:pgMar w:top="245" w:right="245" w:bottom="245" w:left="245" w:header="0" w:footer="0" w:gutter="0"/>
          <w:cols w:num="2" w:space="28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526"/>
        <w:tblW w:w="5305" w:type="dxa"/>
        <w:tblLayout w:type="fixed"/>
        <w:tblLook w:val="04A0" w:firstRow="1" w:lastRow="0" w:firstColumn="1" w:lastColumn="0" w:noHBand="0" w:noVBand="1"/>
      </w:tblPr>
      <w:tblGrid>
        <w:gridCol w:w="2634"/>
        <w:gridCol w:w="511"/>
        <w:gridCol w:w="450"/>
        <w:gridCol w:w="697"/>
        <w:gridCol w:w="23"/>
        <w:gridCol w:w="990"/>
      </w:tblGrid>
      <w:tr w:rsidR="00BA1C7E" w:rsidRPr="00AD3518" w14:paraId="6886CE4B" w14:textId="77777777" w:rsidTr="00F357AF">
        <w:trPr>
          <w:trHeight w:val="251"/>
        </w:trPr>
        <w:tc>
          <w:tcPr>
            <w:tcW w:w="2634" w:type="dxa"/>
            <w:shd w:val="clear" w:color="auto" w:fill="D9D9D9" w:themeFill="background1" w:themeFillShade="D9"/>
            <w:noWrap/>
          </w:tcPr>
          <w:p w14:paraId="36C9C7BC" w14:textId="77777777" w:rsidR="00BA1C7E" w:rsidRPr="00AD3518" w:rsidRDefault="00BA1C7E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lastRenderedPageBreak/>
              <w:t>NAME OF DATA PRODUCT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76004E23" w14:textId="77777777" w:rsidR="00BA1C7E" w:rsidRPr="00AD3518" w:rsidRDefault="00BA1C7E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C28290" w14:textId="77777777" w:rsidR="00BA1C7E" w:rsidRPr="00AD3518" w:rsidRDefault="00BA1C7E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35178CE1" w14:textId="77777777" w:rsidR="00BA1C7E" w:rsidRPr="00AD3518" w:rsidRDefault="00BA1C7E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1013" w:type="dxa"/>
            <w:gridSpan w:val="2"/>
            <w:shd w:val="clear" w:color="auto" w:fill="D9D9D9" w:themeFill="background1" w:themeFillShade="D9"/>
          </w:tcPr>
          <w:p w14:paraId="638460EA" w14:textId="77777777" w:rsidR="00BA1C7E" w:rsidRPr="00AD3518" w:rsidRDefault="00BA1C7E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C43478" w:rsidRPr="00AD3518" w14:paraId="5244AE8B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16A4F28F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Australia Stock Exchange (AUS)</w:t>
            </w:r>
          </w:p>
        </w:tc>
        <w:tc>
          <w:tcPr>
            <w:tcW w:w="511" w:type="dxa"/>
            <w:shd w:val="clear" w:color="auto" w:fill="FFFFFF" w:themeFill="background1"/>
          </w:tcPr>
          <w:p w14:paraId="50FA0D39" w14:textId="29605958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3DA232B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283EBD6" w14:textId="4651E81D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19FB2199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C43478" w:rsidRPr="00AD3518" w14:paraId="1F3505F8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2FE8F1AC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Gre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Tai (Taiwan) OTC and (TAO)</w:t>
            </w:r>
          </w:p>
        </w:tc>
        <w:tc>
          <w:tcPr>
            <w:tcW w:w="511" w:type="dxa"/>
            <w:shd w:val="clear" w:color="auto" w:fill="FFFFFF" w:themeFill="background1"/>
          </w:tcPr>
          <w:p w14:paraId="168C31E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1B62F2F0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E0EA55F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52EB1297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40ABE054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5032D023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Gre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Tai (Taiwan) Bonds (TTL)</w:t>
            </w:r>
          </w:p>
        </w:tc>
        <w:tc>
          <w:tcPr>
            <w:tcW w:w="511" w:type="dxa"/>
            <w:shd w:val="clear" w:color="auto" w:fill="FFFFFF" w:themeFill="background1"/>
          </w:tcPr>
          <w:p w14:paraId="4867AEC6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4CA8B68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F6F0F4A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62AA7734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5B11A421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1CC9D993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Hong Kong Futures Exchange (HKF)</w:t>
            </w:r>
          </w:p>
        </w:tc>
        <w:tc>
          <w:tcPr>
            <w:tcW w:w="511" w:type="dxa"/>
            <w:shd w:val="clear" w:color="auto" w:fill="FFFFFF" w:themeFill="background1"/>
          </w:tcPr>
          <w:p w14:paraId="06AC94D4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25D633E0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590EE5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44138061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  <w:p w14:paraId="3B30D2BE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0BF322B4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4ED26F69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Hong Kong Stock Exchange (HKS)</w:t>
            </w:r>
          </w:p>
        </w:tc>
        <w:tc>
          <w:tcPr>
            <w:tcW w:w="511" w:type="dxa"/>
            <w:shd w:val="clear" w:color="auto" w:fill="FFFFFF" w:themeFill="background1"/>
          </w:tcPr>
          <w:p w14:paraId="7A08FEC9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4623579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4E3E4FD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45D4B366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586F6FA6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09871448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Indonesia Stock Exchange (JAK)</w:t>
            </w:r>
          </w:p>
          <w:p w14:paraId="1E21CD2C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sz w:val="18"/>
                <w:szCs w:val="18"/>
              </w:rPr>
              <w:t>(*Note: Indonesia Indices L1 is included with Indonesia Stock Exchange L2 data)</w:t>
            </w:r>
          </w:p>
        </w:tc>
        <w:tc>
          <w:tcPr>
            <w:tcW w:w="511" w:type="dxa"/>
            <w:shd w:val="clear" w:color="auto" w:fill="FFFFFF" w:themeFill="background1"/>
          </w:tcPr>
          <w:p w14:paraId="11C8E19C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6283E23B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88AD2FD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00CD20C9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3478" w:rsidRPr="00AD3518" w14:paraId="3CC957FA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461B08B9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Indonesia Indices (JKI)</w:t>
            </w:r>
          </w:p>
        </w:tc>
        <w:tc>
          <w:tcPr>
            <w:tcW w:w="511" w:type="dxa"/>
            <w:shd w:val="clear" w:color="auto" w:fill="FFFFFF" w:themeFill="background1"/>
          </w:tcPr>
          <w:p w14:paraId="162A8936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78DE949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DF732A2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5F5E394E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3478" w:rsidRPr="00AD3518" w14:paraId="710436D6" w14:textId="77777777" w:rsidTr="00F357AF">
        <w:trPr>
          <w:trHeight w:val="20"/>
        </w:trPr>
        <w:tc>
          <w:tcPr>
            <w:tcW w:w="2634" w:type="dxa"/>
            <w:shd w:val="clear" w:color="auto" w:fill="FFFFFF" w:themeFill="background1"/>
            <w:noWrap/>
          </w:tcPr>
          <w:p w14:paraId="1340E837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Japanese Exchange Group Equities (includes Osaka Stock Exchange and JASDAQ) (TYS)</w:t>
            </w:r>
          </w:p>
        </w:tc>
        <w:tc>
          <w:tcPr>
            <w:tcW w:w="511" w:type="dxa"/>
            <w:shd w:val="clear" w:color="auto" w:fill="FFFFFF" w:themeFill="background1"/>
          </w:tcPr>
          <w:p w14:paraId="3C194A04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 w:themeFill="background1"/>
          </w:tcPr>
          <w:p w14:paraId="31395299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shd w:val="clear" w:color="auto" w:fill="FFFFFF" w:themeFill="background1"/>
          </w:tcPr>
          <w:p w14:paraId="7F22749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67DEFFB2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>(L1)</w:t>
            </w:r>
          </w:p>
        </w:tc>
      </w:tr>
      <w:tr w:rsidR="00C43478" w:rsidRPr="00AD3518" w14:paraId="07668157" w14:textId="77777777" w:rsidTr="005B0412">
        <w:trPr>
          <w:trHeight w:val="368"/>
        </w:trPr>
        <w:tc>
          <w:tcPr>
            <w:tcW w:w="2634" w:type="dxa"/>
            <w:shd w:val="clear" w:color="auto" w:fill="auto"/>
            <w:noWrap/>
          </w:tcPr>
          <w:p w14:paraId="49B8B484" w14:textId="79AC9036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Korean Index Futures (KOF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11" w:type="dxa"/>
          </w:tcPr>
          <w:p w14:paraId="4DF200B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811973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5E2D7B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</w:tcPr>
          <w:p w14:paraId="5A79A2C7" w14:textId="46B78B89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6BD7C385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3A0BF999" w14:textId="77777777" w:rsidR="00C4347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Korean Stock Exchange (KOR)</w:t>
            </w:r>
          </w:p>
          <w:p w14:paraId="027CA04E" w14:textId="7DF903BF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includes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ELW, ETF, ETN (KOC))</w:t>
            </w:r>
          </w:p>
        </w:tc>
        <w:tc>
          <w:tcPr>
            <w:tcW w:w="511" w:type="dxa"/>
          </w:tcPr>
          <w:p w14:paraId="021E7E92" w14:textId="4D77E441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6EA5D4A" w14:textId="0B7C74D2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4809BDD7" w14:textId="1B8B72EB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</w:tcPr>
          <w:p w14:paraId="38C4AAC3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2708463B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25A6E532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Korean Stock Exchange </w:t>
            </w:r>
            <w:proofErr w:type="gramStart"/>
            <w:r w:rsidRPr="00AD3518">
              <w:rPr>
                <w:rFonts w:cstheme="minorHAnsi"/>
                <w:b/>
                <w:sz w:val="18"/>
                <w:szCs w:val="18"/>
              </w:rPr>
              <w:t>Delayed  (</w:t>
            </w:r>
            <w:proofErr w:type="gramEnd"/>
            <w:r w:rsidRPr="00AD3518">
              <w:rPr>
                <w:rFonts w:cstheme="minorHAnsi"/>
                <w:b/>
                <w:sz w:val="18"/>
                <w:szCs w:val="18"/>
              </w:rPr>
              <w:t>KOR)</w:t>
            </w:r>
          </w:p>
        </w:tc>
        <w:tc>
          <w:tcPr>
            <w:tcW w:w="511" w:type="dxa"/>
          </w:tcPr>
          <w:p w14:paraId="0EB3864F" w14:textId="409A62A6" w:rsidR="00C43478" w:rsidRPr="00AD3518" w:rsidDel="00A2040D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83441B2" w14:textId="7DC74348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27C8F799" w14:textId="74B47909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63CF6951" w14:textId="41F32F1C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221A7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7A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221A7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5BB1EB2D" w14:textId="77777777" w:rsidTr="00F357AF">
        <w:trPr>
          <w:trHeight w:val="161"/>
        </w:trPr>
        <w:tc>
          <w:tcPr>
            <w:tcW w:w="2634" w:type="dxa"/>
            <w:noWrap/>
          </w:tcPr>
          <w:p w14:paraId="037B1E4D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KOSDAQ (KOS)</w:t>
            </w:r>
            <w:r>
              <w:rPr>
                <w:rFonts w:cstheme="minorHAnsi"/>
                <w:b/>
                <w:sz w:val="18"/>
                <w:szCs w:val="18"/>
              </w:rPr>
              <w:t xml:space="preserve"> (includes KONFEX-KON)</w:t>
            </w:r>
          </w:p>
        </w:tc>
        <w:tc>
          <w:tcPr>
            <w:tcW w:w="511" w:type="dxa"/>
          </w:tcPr>
          <w:p w14:paraId="254633C9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13D684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7BD57554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</w:tcPr>
          <w:p w14:paraId="4703110D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533949A7" w14:textId="77777777" w:rsidTr="00F357AF">
        <w:trPr>
          <w:trHeight w:val="161"/>
        </w:trPr>
        <w:tc>
          <w:tcPr>
            <w:tcW w:w="2634" w:type="dxa"/>
            <w:noWrap/>
          </w:tcPr>
          <w:p w14:paraId="5397F3D0" w14:textId="77777777" w:rsidR="00C43478" w:rsidRPr="00AD3518" w:rsidRDefault="00C43478" w:rsidP="00C43478">
            <w:pPr>
              <w:rPr>
                <w:color w:val="000000"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Malaysia Securities Exchange (MYS) </w:t>
            </w:r>
            <w:r w:rsidRPr="00AD3518">
              <w:rPr>
                <w:rFonts w:cstheme="minorHAnsi"/>
                <w:sz w:val="18"/>
                <w:szCs w:val="18"/>
              </w:rPr>
              <w:t>(*Note: Malaysia Indices L1 is included with any Malaysia Stock Exchange data)</w:t>
            </w: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</w:tcPr>
          <w:p w14:paraId="077163EF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413747C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1968766A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</w:tcPr>
          <w:p w14:paraId="57939148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08C49204" w14:textId="77777777" w:rsidTr="00F357AF">
        <w:trPr>
          <w:trHeight w:val="161"/>
        </w:trPr>
        <w:tc>
          <w:tcPr>
            <w:tcW w:w="2634" w:type="dxa"/>
            <w:noWrap/>
          </w:tcPr>
          <w:p w14:paraId="57CB64FB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Malaysia Indices (MYI) </w:t>
            </w:r>
          </w:p>
        </w:tc>
        <w:tc>
          <w:tcPr>
            <w:tcW w:w="511" w:type="dxa"/>
          </w:tcPr>
          <w:p w14:paraId="30EDDECE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08954B6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1F8395B9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</w:tcPr>
          <w:p w14:paraId="16139840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6BB25C1F" w14:textId="77777777" w:rsidTr="00F357AF">
        <w:trPr>
          <w:trHeight w:val="161"/>
        </w:trPr>
        <w:tc>
          <w:tcPr>
            <w:tcW w:w="2634" w:type="dxa"/>
            <w:noWrap/>
          </w:tcPr>
          <w:p w14:paraId="782250DB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Malaysia Derivatives (MYF)</w:t>
            </w:r>
          </w:p>
        </w:tc>
        <w:tc>
          <w:tcPr>
            <w:tcW w:w="511" w:type="dxa"/>
          </w:tcPr>
          <w:p w14:paraId="5784E49B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04302AD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45CA5DB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2"/>
          </w:tcPr>
          <w:p w14:paraId="7F794E00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3EAD307D" w14:textId="77777777" w:rsidTr="00F357AF">
        <w:trPr>
          <w:trHeight w:val="20"/>
        </w:trPr>
        <w:tc>
          <w:tcPr>
            <w:tcW w:w="2634" w:type="dxa"/>
            <w:noWrap/>
          </w:tcPr>
          <w:p w14:paraId="3484F07F" w14:textId="576455EA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National Stock Exchange of India Equities (NIN)</w:t>
            </w:r>
          </w:p>
        </w:tc>
        <w:tc>
          <w:tcPr>
            <w:tcW w:w="511" w:type="dxa"/>
          </w:tcPr>
          <w:p w14:paraId="6B0B0CE1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1F9FE4A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E9D1BC0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C3E5770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54294BB7" w14:textId="77777777" w:rsidTr="00F357AF">
        <w:trPr>
          <w:trHeight w:val="20"/>
        </w:trPr>
        <w:tc>
          <w:tcPr>
            <w:tcW w:w="2634" w:type="dxa"/>
            <w:noWrap/>
          </w:tcPr>
          <w:p w14:paraId="158BC7C6" w14:textId="4AFD59FB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National Stock Exchange of India Indices (NII)</w:t>
            </w:r>
          </w:p>
        </w:tc>
        <w:tc>
          <w:tcPr>
            <w:tcW w:w="511" w:type="dxa"/>
          </w:tcPr>
          <w:p w14:paraId="2E7BB3ED" w14:textId="1924E782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AB25008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5B520F2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0BD95D2" w14:textId="37D220F9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6FC41F8D" w14:textId="77777777" w:rsidTr="00F357AF">
        <w:trPr>
          <w:trHeight w:val="20"/>
        </w:trPr>
        <w:tc>
          <w:tcPr>
            <w:tcW w:w="2634" w:type="dxa"/>
            <w:noWrap/>
          </w:tcPr>
          <w:p w14:paraId="152A0C38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National Stock Exchange of India Futures &amp; Options (NIF)</w:t>
            </w:r>
          </w:p>
        </w:tc>
        <w:tc>
          <w:tcPr>
            <w:tcW w:w="511" w:type="dxa"/>
          </w:tcPr>
          <w:p w14:paraId="09238DE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40763F5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A9278B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02D9545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683CA6F4" w14:textId="77777777" w:rsidTr="00F357AF">
        <w:trPr>
          <w:trHeight w:val="20"/>
        </w:trPr>
        <w:tc>
          <w:tcPr>
            <w:tcW w:w="2634" w:type="dxa"/>
            <w:noWrap/>
          </w:tcPr>
          <w:p w14:paraId="51FB59DC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National Stock Exchange of India Wholesale Debt (NID)</w:t>
            </w:r>
          </w:p>
        </w:tc>
        <w:tc>
          <w:tcPr>
            <w:tcW w:w="511" w:type="dxa"/>
          </w:tcPr>
          <w:p w14:paraId="32B33BE4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10D740B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C29982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BEAE98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46BC3C3C" w14:textId="77777777" w:rsidTr="00F357AF">
        <w:trPr>
          <w:trHeight w:val="20"/>
        </w:trPr>
        <w:tc>
          <w:tcPr>
            <w:tcW w:w="2634" w:type="dxa"/>
            <w:noWrap/>
          </w:tcPr>
          <w:p w14:paraId="79DDBF26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New Zealand Stock Exchange (NZS)</w:t>
            </w:r>
          </w:p>
        </w:tc>
        <w:tc>
          <w:tcPr>
            <w:tcW w:w="511" w:type="dxa"/>
          </w:tcPr>
          <w:p w14:paraId="4AFB03D9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ACF7D2B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5018C3A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76D49FD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7ECF3317" w14:textId="77777777" w:rsidTr="005B0412">
        <w:trPr>
          <w:trHeight w:val="170"/>
        </w:trPr>
        <w:tc>
          <w:tcPr>
            <w:tcW w:w="2634" w:type="dxa"/>
            <w:noWrap/>
          </w:tcPr>
          <w:p w14:paraId="3E5FB505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New Zealand Indices (NZI)</w:t>
            </w:r>
          </w:p>
        </w:tc>
        <w:tc>
          <w:tcPr>
            <w:tcW w:w="511" w:type="dxa"/>
          </w:tcPr>
          <w:p w14:paraId="78B057E1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028557E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66474E7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E58941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1B8B6326" w14:textId="77777777" w:rsidTr="00F357AF">
        <w:trPr>
          <w:trHeight w:val="20"/>
        </w:trPr>
        <w:tc>
          <w:tcPr>
            <w:tcW w:w="2634" w:type="dxa"/>
            <w:noWrap/>
          </w:tcPr>
          <w:p w14:paraId="6DE7E733" w14:textId="5C3575A2" w:rsidR="00C43478" w:rsidRPr="005B0412" w:rsidRDefault="00C43478" w:rsidP="00C43478">
            <w:pPr>
              <w:spacing w:line="280" w:lineRule="atLeast"/>
              <w:rPr>
                <w:rFonts w:cstheme="minorHAnsi"/>
                <w:b/>
                <w:sz w:val="17"/>
                <w:szCs w:val="17"/>
              </w:rPr>
            </w:pPr>
            <w:r w:rsidRPr="005B0412">
              <w:rPr>
                <w:rFonts w:cstheme="minorHAnsi"/>
                <w:b/>
                <w:sz w:val="17"/>
                <w:szCs w:val="17"/>
              </w:rPr>
              <w:t>Osaka Exchange Derivatives</w:t>
            </w:r>
            <w:r w:rsidR="002D4B80" w:rsidRPr="005B0412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5B0412">
              <w:rPr>
                <w:rFonts w:cstheme="minorHAnsi"/>
                <w:b/>
                <w:sz w:val="17"/>
                <w:szCs w:val="17"/>
              </w:rPr>
              <w:t>(OSF)</w:t>
            </w:r>
          </w:p>
        </w:tc>
        <w:tc>
          <w:tcPr>
            <w:tcW w:w="511" w:type="dxa"/>
          </w:tcPr>
          <w:p w14:paraId="749D7474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78979C1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010C571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E736235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43EFE393" w14:textId="77777777" w:rsidTr="00F357AF">
        <w:trPr>
          <w:trHeight w:val="20"/>
        </w:trPr>
        <w:tc>
          <w:tcPr>
            <w:tcW w:w="2634" w:type="dxa"/>
            <w:noWrap/>
          </w:tcPr>
          <w:p w14:paraId="4D675EC1" w14:textId="77777777" w:rsidR="00C43478" w:rsidRPr="005B0412" w:rsidRDefault="00C43478" w:rsidP="00C43478">
            <w:pPr>
              <w:spacing w:line="280" w:lineRule="atLeast"/>
              <w:rPr>
                <w:rFonts w:cstheme="minorHAnsi"/>
                <w:b/>
                <w:sz w:val="17"/>
                <w:szCs w:val="17"/>
              </w:rPr>
            </w:pPr>
            <w:r w:rsidRPr="005B0412">
              <w:rPr>
                <w:rFonts w:cstheme="minorHAnsi"/>
                <w:b/>
                <w:sz w:val="17"/>
                <w:szCs w:val="17"/>
              </w:rPr>
              <w:t>Shanghai Futures Exchange (SHF)</w:t>
            </w:r>
          </w:p>
        </w:tc>
        <w:tc>
          <w:tcPr>
            <w:tcW w:w="511" w:type="dxa"/>
          </w:tcPr>
          <w:p w14:paraId="11AAE390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63E8CFCC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5789FB2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2F9360A8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C43478" w:rsidRPr="00AD3518" w14:paraId="34AB3615" w14:textId="77777777" w:rsidTr="005B0412">
        <w:trPr>
          <w:trHeight w:val="323"/>
        </w:trPr>
        <w:tc>
          <w:tcPr>
            <w:tcW w:w="2634" w:type="dxa"/>
            <w:noWrap/>
          </w:tcPr>
          <w:p w14:paraId="71EA41C6" w14:textId="0CB9A68D" w:rsidR="00C43478" w:rsidRPr="005B0412" w:rsidRDefault="00C43478" w:rsidP="00C43478">
            <w:pPr>
              <w:spacing w:line="280" w:lineRule="atLeast"/>
              <w:rPr>
                <w:rFonts w:cstheme="minorHAnsi"/>
                <w:b/>
                <w:sz w:val="17"/>
                <w:szCs w:val="17"/>
              </w:rPr>
            </w:pPr>
            <w:r w:rsidRPr="005B0412">
              <w:rPr>
                <w:rFonts w:cstheme="minorHAnsi"/>
                <w:b/>
                <w:sz w:val="17"/>
                <w:szCs w:val="17"/>
              </w:rPr>
              <w:t>Shanghai Stock Exchange (SHH)  </w:t>
            </w:r>
          </w:p>
        </w:tc>
        <w:tc>
          <w:tcPr>
            <w:tcW w:w="511" w:type="dxa"/>
          </w:tcPr>
          <w:p w14:paraId="42EA2D09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CCE7F86" w14:textId="77777777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08FEF593" w14:textId="77777777" w:rsidR="00C43478" w:rsidRPr="00AD3518" w:rsidRDefault="00C43478" w:rsidP="00C4347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381FBD3A" w14:textId="77777777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8"/>
        <w:tblW w:w="5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89"/>
      </w:tblGrid>
      <w:tr w:rsidR="00F357AF" w:rsidRPr="00CA3186" w14:paraId="3D666E25" w14:textId="77777777" w:rsidTr="00F357AF">
        <w:trPr>
          <w:trHeight w:val="104"/>
        </w:trPr>
        <w:tc>
          <w:tcPr>
            <w:tcW w:w="5389" w:type="dxa"/>
            <w:shd w:val="clear" w:color="auto" w:fill="D9D9D9" w:themeFill="background1" w:themeFillShade="D9"/>
          </w:tcPr>
          <w:p w14:paraId="66DCBDB3" w14:textId="2F28F39D" w:rsidR="00F357AF" w:rsidRPr="00CA3186" w:rsidRDefault="00F357AF" w:rsidP="00F357AF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APAC</w:t>
            </w:r>
            <w:r w:rsidRPr="00CA3186">
              <w:rPr>
                <w:b/>
                <w:sz w:val="21"/>
                <w:szCs w:val="21"/>
              </w:rPr>
              <w:t xml:space="preserve"> SOURCES</w:t>
            </w:r>
            <w:r>
              <w:rPr>
                <w:b/>
                <w:sz w:val="21"/>
                <w:szCs w:val="21"/>
              </w:rPr>
              <w:t xml:space="preserve"> (Asia Pacific</w:t>
            </w:r>
            <w:r w:rsidRPr="00CA3186">
              <w:rPr>
                <w:b/>
                <w:sz w:val="21"/>
                <w:szCs w:val="21"/>
              </w:rPr>
              <w:t>) (1 Region)</w:t>
            </w:r>
          </w:p>
        </w:tc>
      </w:tr>
    </w:tbl>
    <w:p w14:paraId="3941DEBF" w14:textId="3A127424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132"/>
        <w:tblW w:w="5305" w:type="dxa"/>
        <w:tblLayout w:type="fixed"/>
        <w:tblLook w:val="04A0" w:firstRow="1" w:lastRow="0" w:firstColumn="1" w:lastColumn="0" w:noHBand="0" w:noVBand="1"/>
      </w:tblPr>
      <w:tblGrid>
        <w:gridCol w:w="2634"/>
        <w:gridCol w:w="511"/>
        <w:gridCol w:w="450"/>
        <w:gridCol w:w="697"/>
        <w:gridCol w:w="1013"/>
      </w:tblGrid>
      <w:tr w:rsidR="00F357AF" w:rsidRPr="00AD3518" w14:paraId="0132B800" w14:textId="77777777" w:rsidTr="00F357AF">
        <w:trPr>
          <w:trHeight w:val="20"/>
        </w:trPr>
        <w:tc>
          <w:tcPr>
            <w:tcW w:w="2634" w:type="dxa"/>
            <w:shd w:val="clear" w:color="auto" w:fill="D9D9D9" w:themeFill="background1" w:themeFillShade="D9"/>
            <w:noWrap/>
          </w:tcPr>
          <w:p w14:paraId="387586B5" w14:textId="77777777" w:rsidR="00F357AF" w:rsidRPr="00AD3518" w:rsidRDefault="00F357AF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NAME OF DATA PRODUCT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14:paraId="0FBDA9B2" w14:textId="77777777" w:rsidR="00F357AF" w:rsidRPr="00AD3518" w:rsidRDefault="00F357AF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23C044" w14:textId="77777777" w:rsidR="00F357AF" w:rsidRPr="00AD3518" w:rsidRDefault="00F357AF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4893F028" w14:textId="77777777" w:rsidR="00F357AF" w:rsidRPr="00AD3518" w:rsidRDefault="00F357AF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6E710752" w14:textId="77777777" w:rsidR="00F357AF" w:rsidRPr="00AD3518" w:rsidRDefault="00F357AF" w:rsidP="00F357AF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A91788" w:rsidRPr="00AD3518" w14:paraId="7435CD2A" w14:textId="77777777" w:rsidTr="004032E4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5ED74DC8" w14:textId="63CAC10D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Shanghai Indices (SHI)</w:t>
            </w:r>
          </w:p>
        </w:tc>
        <w:tc>
          <w:tcPr>
            <w:tcW w:w="511" w:type="dxa"/>
            <w:shd w:val="clear" w:color="auto" w:fill="auto"/>
          </w:tcPr>
          <w:p w14:paraId="04CFED5E" w14:textId="745D044F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7D1DE5B" w14:textId="77777777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14:paraId="094C0D2C" w14:textId="77777777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14:paraId="45A208BB" w14:textId="77777777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1788" w:rsidRPr="00AD3518" w14:paraId="4FCFF245" w14:textId="77777777" w:rsidTr="00F357AF">
        <w:trPr>
          <w:trHeight w:val="20"/>
        </w:trPr>
        <w:tc>
          <w:tcPr>
            <w:tcW w:w="2634" w:type="dxa"/>
            <w:noWrap/>
          </w:tcPr>
          <w:p w14:paraId="210DEBB1" w14:textId="60A81772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Shenzhen Stock Exchange Equities (SHZ) </w:t>
            </w:r>
            <w:r w:rsidRPr="00AD3518">
              <w:rPr>
                <w:rFonts w:cstheme="minorHAnsi"/>
                <w:sz w:val="18"/>
                <w:szCs w:val="18"/>
              </w:rPr>
              <w:t>(*Note: Shenzhen Indices Futures L1 is included with Shenzhen Stock Exchange L2 data)</w:t>
            </w:r>
          </w:p>
        </w:tc>
        <w:tc>
          <w:tcPr>
            <w:tcW w:w="511" w:type="dxa"/>
          </w:tcPr>
          <w:p w14:paraId="2E17A704" w14:textId="2B984A7B" w:rsidR="00A91788" w:rsidRPr="00AD3518" w:rsidRDefault="00A91788" w:rsidP="00A9178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C6F0364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29E20359" w14:textId="0C6E10E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5EA73603" w14:textId="77777777" w:rsidR="00A91788" w:rsidRPr="00AD3518" w:rsidRDefault="00A91788" w:rsidP="00A9178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91788" w:rsidRPr="00AD3518" w14:paraId="05046898" w14:textId="77777777" w:rsidTr="00F357AF">
        <w:trPr>
          <w:trHeight w:val="20"/>
        </w:trPr>
        <w:tc>
          <w:tcPr>
            <w:tcW w:w="2634" w:type="dxa"/>
            <w:noWrap/>
          </w:tcPr>
          <w:p w14:paraId="600B4297" w14:textId="36A601F0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Shenzhen Indices Futures (SZI)</w:t>
            </w:r>
          </w:p>
        </w:tc>
        <w:tc>
          <w:tcPr>
            <w:tcW w:w="511" w:type="dxa"/>
          </w:tcPr>
          <w:p w14:paraId="2B06961D" w14:textId="19A534C6" w:rsidR="00A91788" w:rsidRPr="00AD3518" w:rsidRDefault="00A91788" w:rsidP="00A9178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6B9A8A8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0B8811DF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14:paraId="7E224D82" w14:textId="77777777" w:rsidR="00A91788" w:rsidRPr="00AD3518" w:rsidRDefault="00A91788" w:rsidP="00A9178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7702" w:rsidRPr="00AD3518" w14:paraId="286BB962" w14:textId="77777777" w:rsidTr="00F357AF">
        <w:trPr>
          <w:trHeight w:val="20"/>
        </w:trPr>
        <w:tc>
          <w:tcPr>
            <w:tcW w:w="2634" w:type="dxa"/>
            <w:noWrap/>
          </w:tcPr>
          <w:p w14:paraId="6714883B" w14:textId="368CB1AB" w:rsidR="001C7702" w:rsidRPr="00AD3518" w:rsidRDefault="001C7702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Singapore Commodity Derivat</w:t>
            </w:r>
            <w:r w:rsidR="00446053">
              <w:rPr>
                <w:rFonts w:cstheme="minorHAnsi"/>
                <w:b/>
                <w:sz w:val="18"/>
                <w:szCs w:val="18"/>
              </w:rPr>
              <w:t>iv</w:t>
            </w:r>
            <w:r>
              <w:rPr>
                <w:rFonts w:cstheme="minorHAnsi"/>
                <w:b/>
                <w:sz w:val="18"/>
                <w:szCs w:val="18"/>
              </w:rPr>
              <w:t>es</w:t>
            </w:r>
            <w:r w:rsidR="00366357">
              <w:rPr>
                <w:rFonts w:cstheme="minorHAnsi"/>
                <w:b/>
                <w:sz w:val="18"/>
                <w:szCs w:val="18"/>
              </w:rPr>
              <w:t xml:space="preserve"> (SGC)</w:t>
            </w:r>
          </w:p>
        </w:tc>
        <w:tc>
          <w:tcPr>
            <w:tcW w:w="511" w:type="dxa"/>
          </w:tcPr>
          <w:p w14:paraId="19BB1A66" w14:textId="77777777" w:rsidR="001C7702" w:rsidRPr="00AD3518" w:rsidRDefault="001C7702" w:rsidP="00A91788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39F0822A" w14:textId="77777777" w:rsidR="001C7702" w:rsidRPr="00AD3518" w:rsidRDefault="001C7702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5ABE4732" w14:textId="3D11F42C" w:rsidR="001C7702" w:rsidRPr="00AD3518" w:rsidRDefault="00366357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50BE1D02" w14:textId="77777777" w:rsidR="001C7702" w:rsidRPr="00AD3518" w:rsidRDefault="001C7702" w:rsidP="00A9178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91788" w:rsidRPr="00AD3518" w14:paraId="761B6F3C" w14:textId="77777777" w:rsidTr="00F357AF">
        <w:trPr>
          <w:trHeight w:val="20"/>
        </w:trPr>
        <w:tc>
          <w:tcPr>
            <w:tcW w:w="2634" w:type="dxa"/>
            <w:noWrap/>
          </w:tcPr>
          <w:p w14:paraId="11C977FF" w14:textId="77777777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Singapore Derivatives (SIM)</w:t>
            </w:r>
          </w:p>
        </w:tc>
        <w:tc>
          <w:tcPr>
            <w:tcW w:w="511" w:type="dxa"/>
          </w:tcPr>
          <w:p w14:paraId="790D3A9D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B8EA198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79DA0C85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3D1F5562" w14:textId="77777777" w:rsidR="00A91788" w:rsidRPr="00AD3518" w:rsidRDefault="00A91788" w:rsidP="00A91788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A91788" w:rsidRPr="00AD3518" w14:paraId="02AFC9B0" w14:textId="77777777" w:rsidTr="00F357AF">
        <w:trPr>
          <w:trHeight w:val="20"/>
        </w:trPr>
        <w:tc>
          <w:tcPr>
            <w:tcW w:w="2634" w:type="dxa"/>
            <w:noWrap/>
          </w:tcPr>
          <w:p w14:paraId="15873A73" w14:textId="606D1E36" w:rsidR="00A91788" w:rsidRPr="00AD3518" w:rsidRDefault="00A91788" w:rsidP="00A9178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Singapore Equities (SES)</w:t>
            </w:r>
          </w:p>
        </w:tc>
        <w:tc>
          <w:tcPr>
            <w:tcW w:w="511" w:type="dxa"/>
          </w:tcPr>
          <w:p w14:paraId="7FDA05BF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6A1B6486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7EC5780" w14:textId="77777777" w:rsidR="00A91788" w:rsidRPr="00AD3518" w:rsidRDefault="00A91788" w:rsidP="00A9178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noProof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noProof/>
                <w:sz w:val="18"/>
                <w:szCs w:val="18"/>
              </w:rPr>
            </w:r>
            <w:r w:rsidR="004045C7">
              <w:rPr>
                <w:b/>
                <w:noProof/>
                <w:sz w:val="18"/>
                <w:szCs w:val="18"/>
              </w:rPr>
              <w:fldChar w:fldCharType="separate"/>
            </w:r>
            <w:r w:rsidRPr="00AD3518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00E595C8" w14:textId="77777777" w:rsidR="00A91788" w:rsidRPr="00AD3518" w:rsidRDefault="00A91788" w:rsidP="00A9178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C43478" w:rsidRPr="00AD3518" w14:paraId="5784AE6A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2CD928FA" w14:textId="77777777" w:rsidR="00C43478" w:rsidRPr="00AD3518" w:rsidRDefault="00C43478" w:rsidP="00C43478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Sydney Futures Exchange (SFE)</w:t>
            </w:r>
          </w:p>
        </w:tc>
        <w:tc>
          <w:tcPr>
            <w:tcW w:w="511" w:type="dxa"/>
          </w:tcPr>
          <w:p w14:paraId="2205BB1A" w14:textId="70504D92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50E78915" w14:textId="53BCDA9D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5D82C866" w14:textId="77A5DBCD" w:rsidR="00C43478" w:rsidRPr="00AD3518" w:rsidRDefault="00C43478" w:rsidP="00C43478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7D4EEA6F" w14:textId="3E589C7A" w:rsidR="00C43478" w:rsidRPr="00AD3518" w:rsidRDefault="00C43478" w:rsidP="00C43478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(L1)</w:t>
            </w:r>
          </w:p>
        </w:tc>
      </w:tr>
      <w:tr w:rsidR="00943B37" w:rsidRPr="00AD3518" w14:paraId="4AB120B9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18240FB9" w14:textId="77777777" w:rsidR="00943B37" w:rsidRPr="00AD3518" w:rsidRDefault="00943B37" w:rsidP="00943B37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Taiwan Stock Exchange (TAI)</w:t>
            </w:r>
          </w:p>
        </w:tc>
        <w:tc>
          <w:tcPr>
            <w:tcW w:w="511" w:type="dxa"/>
          </w:tcPr>
          <w:p w14:paraId="3A7BDF4F" w14:textId="77777777" w:rsidR="00943B37" w:rsidRPr="00AD3518" w:rsidRDefault="00943B37" w:rsidP="00943B37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D32AEE5" w14:textId="77777777" w:rsidR="00943B37" w:rsidRPr="00AD3518" w:rsidRDefault="00943B37" w:rsidP="00943B37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5C6C4ED2" w14:textId="77777777" w:rsidR="00943B37" w:rsidRPr="00AD3518" w:rsidRDefault="00943B37" w:rsidP="00943B37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14:paraId="4218C101" w14:textId="24269589" w:rsidR="00943B37" w:rsidRPr="00AD3518" w:rsidRDefault="00943B37" w:rsidP="00943B37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B4524" w:rsidRPr="00AD3518" w14:paraId="7917D6BA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76F3CA5D" w14:textId="5E8C09A3" w:rsidR="005B4524" w:rsidRPr="00AD3518" w:rsidRDefault="005B4524" w:rsidP="005B4524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Taiwan Futures Exchange (TWF)</w:t>
            </w:r>
          </w:p>
        </w:tc>
        <w:tc>
          <w:tcPr>
            <w:tcW w:w="511" w:type="dxa"/>
          </w:tcPr>
          <w:p w14:paraId="01A73FC9" w14:textId="5A18576B" w:rsidR="005B4524" w:rsidRPr="00AD3518" w:rsidRDefault="005B4524" w:rsidP="005B4524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846A803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19A83217" w14:textId="77777777" w:rsidR="005B4524" w:rsidRPr="00AD3518" w:rsidRDefault="005B4524" w:rsidP="005B4524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14:paraId="649667C5" w14:textId="73C36FF5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(L1)</w:t>
            </w:r>
          </w:p>
        </w:tc>
      </w:tr>
      <w:tr w:rsidR="005B4524" w:rsidRPr="00AD3518" w14:paraId="4CA495BC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1BB34BC8" w14:textId="7F8E6EED" w:rsidR="005B4524" w:rsidRPr="00AD3518" w:rsidRDefault="005B4524" w:rsidP="005B4524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Thailand Securities Exchange (THA)</w:t>
            </w:r>
          </w:p>
        </w:tc>
        <w:tc>
          <w:tcPr>
            <w:tcW w:w="511" w:type="dxa"/>
          </w:tcPr>
          <w:p w14:paraId="486EE61D" w14:textId="2D6B26D7" w:rsidR="005B4524" w:rsidRPr="00AD3518" w:rsidRDefault="005B4524" w:rsidP="005B4524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617EB1B0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54738DE5" w14:textId="4982849B" w:rsidR="005B4524" w:rsidRPr="00AD3518" w:rsidRDefault="005B4524" w:rsidP="005B4524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701765AD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B4524" w:rsidRPr="00AD3518" w14:paraId="6457A1A1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5FA8510B" w14:textId="6EDB860B" w:rsidR="005B4524" w:rsidRPr="00AD3518" w:rsidRDefault="005B4524" w:rsidP="005B4524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Thailand Indices (THI)</w:t>
            </w:r>
          </w:p>
        </w:tc>
        <w:tc>
          <w:tcPr>
            <w:tcW w:w="511" w:type="dxa"/>
          </w:tcPr>
          <w:p w14:paraId="573A0497" w14:textId="485D0814" w:rsidR="005B4524" w:rsidRPr="00AD3518" w:rsidRDefault="005B4524" w:rsidP="005B4524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67CEED6B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0877168A" w14:textId="77777777" w:rsidR="005B4524" w:rsidRPr="00AD3518" w:rsidRDefault="005B4524" w:rsidP="005B4524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14:paraId="5BA8587D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B4524" w:rsidRPr="00AD3518" w14:paraId="5488BC3A" w14:textId="77777777" w:rsidTr="00F357AF">
        <w:trPr>
          <w:trHeight w:val="20"/>
        </w:trPr>
        <w:tc>
          <w:tcPr>
            <w:tcW w:w="2634" w:type="dxa"/>
            <w:shd w:val="clear" w:color="auto" w:fill="auto"/>
            <w:noWrap/>
          </w:tcPr>
          <w:p w14:paraId="24A3DCFB" w14:textId="1377D7DF" w:rsidR="005B4524" w:rsidRPr="00AD3518" w:rsidRDefault="005B4524" w:rsidP="005B4524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Thailand Futures (THF)</w:t>
            </w:r>
          </w:p>
        </w:tc>
        <w:tc>
          <w:tcPr>
            <w:tcW w:w="511" w:type="dxa"/>
          </w:tcPr>
          <w:p w14:paraId="3D614EA5" w14:textId="028B5FF6" w:rsidR="005B4524" w:rsidRPr="00AD3518" w:rsidRDefault="005B4524" w:rsidP="005B4524">
            <w:pPr>
              <w:spacing w:line="280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912D207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42103853" w14:textId="0A79C18B" w:rsidR="005B4524" w:rsidRPr="00AD3518" w:rsidRDefault="005B4524" w:rsidP="005B4524">
            <w:pPr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14:paraId="034DA392" w14:textId="77777777" w:rsidR="005B4524" w:rsidRPr="00AD3518" w:rsidRDefault="005B4524" w:rsidP="005B4524">
            <w:pPr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14:paraId="18880B33" w14:textId="008CF06F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39F0916A" w14:textId="68F2A53A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3FB9929D" w14:textId="5FD9EC35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46478A64" w14:textId="0C9725DE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1D9478DD" w14:textId="1A18E77B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487517A6" w14:textId="272776A6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2FFF9320" w14:textId="5C973CA1" w:rsidR="00CA28BD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</w:pPr>
    </w:p>
    <w:p w14:paraId="30FDCCB3" w14:textId="77777777" w:rsidR="00CA28BD" w:rsidRPr="00CA3186" w:rsidRDefault="00CA28BD" w:rsidP="00591A7B">
      <w:pPr>
        <w:rPr>
          <w:rFonts w:cstheme="minorHAnsi"/>
          <w:b/>
          <w:color w:val="000000" w:themeColor="text1"/>
          <w:sz w:val="18"/>
          <w:szCs w:val="18"/>
        </w:rPr>
        <w:sectPr w:rsidR="00CA28BD" w:rsidRPr="00CA3186" w:rsidSect="006363BD">
          <w:type w:val="continuous"/>
          <w:pgSz w:w="12240" w:h="15840"/>
          <w:pgMar w:top="245" w:right="245" w:bottom="245" w:left="245" w:header="144" w:footer="0" w:gutter="0"/>
          <w:cols w:num="2" w:space="288"/>
          <w:docGrid w:linePitch="360"/>
        </w:sectPr>
      </w:pPr>
    </w:p>
    <w:p w14:paraId="23FFBE3B" w14:textId="58298F04" w:rsidR="00C601BE" w:rsidRPr="00CA3186" w:rsidRDefault="00C601BE" w:rsidP="00C601BE">
      <w:pPr>
        <w:spacing w:after="0" w:line="220" w:lineRule="exact"/>
        <w:rPr>
          <w:b/>
          <w:i/>
          <w:color w:val="000000" w:themeColor="text1"/>
          <w:sz w:val="18"/>
          <w:szCs w:val="18"/>
        </w:rPr>
        <w:sectPr w:rsidR="00C601BE" w:rsidRPr="00CA3186" w:rsidSect="00BA1C7E">
          <w:headerReference w:type="default" r:id="rId19"/>
          <w:footerReference w:type="default" r:id="rId20"/>
          <w:type w:val="continuous"/>
          <w:pgSz w:w="12240" w:h="15840"/>
          <w:pgMar w:top="245" w:right="245" w:bottom="245" w:left="245" w:header="432" w:footer="432" w:gutter="0"/>
          <w:cols w:num="2" w:space="288"/>
          <w:docGrid w:linePitch="360"/>
        </w:sectPr>
      </w:pPr>
    </w:p>
    <w:p w14:paraId="346C0E32" w14:textId="77777777" w:rsidR="001B7D0A" w:rsidRDefault="001B7D0A" w:rsidP="003B6037">
      <w:pPr>
        <w:spacing w:line="280" w:lineRule="exact"/>
        <w:rPr>
          <w:rFonts w:cstheme="minorHAnsi"/>
          <w:b/>
          <w:sz w:val="18"/>
          <w:szCs w:val="18"/>
        </w:rPr>
        <w:sectPr w:rsidR="001B7D0A" w:rsidSect="00BA1C7E">
          <w:headerReference w:type="default" r:id="rId21"/>
          <w:type w:val="continuous"/>
          <w:pgSz w:w="12240" w:h="15840"/>
          <w:pgMar w:top="245" w:right="245" w:bottom="245" w:left="245" w:header="0" w:footer="0" w:gutter="0"/>
          <w:cols w:num="2" w:space="288"/>
          <w:titlePg/>
          <w:docGrid w:linePitch="360"/>
        </w:sectPr>
      </w:pPr>
    </w:p>
    <w:p w14:paraId="717C505A" w14:textId="77777777" w:rsidR="00C601BE" w:rsidRPr="00AD3518" w:rsidRDefault="00C601BE" w:rsidP="00C601BE">
      <w:pPr>
        <w:rPr>
          <w:b/>
          <w:sz w:val="18"/>
          <w:szCs w:val="18"/>
        </w:rPr>
        <w:sectPr w:rsidR="00C601BE" w:rsidRPr="00AD3518" w:rsidSect="00BA1C7E">
          <w:type w:val="continuous"/>
          <w:pgSz w:w="12240" w:h="15840"/>
          <w:pgMar w:top="245" w:right="245" w:bottom="245" w:left="245" w:header="0" w:footer="0" w:gutter="0"/>
          <w:cols w:num="2" w:space="288"/>
          <w:titlePg/>
          <w:docGrid w:linePitch="360"/>
        </w:sectPr>
      </w:pPr>
    </w:p>
    <w:p w14:paraId="49238C00" w14:textId="77777777" w:rsidR="00A67070" w:rsidRPr="00AD3518" w:rsidRDefault="00A67070" w:rsidP="00D30911">
      <w:pPr>
        <w:rPr>
          <w:b/>
          <w:sz w:val="18"/>
          <w:szCs w:val="18"/>
        </w:rPr>
        <w:sectPr w:rsidR="00A67070" w:rsidRPr="00AD3518" w:rsidSect="00BA1C7E">
          <w:headerReference w:type="default" r:id="rId22"/>
          <w:type w:val="continuous"/>
          <w:pgSz w:w="12240" w:h="15840"/>
          <w:pgMar w:top="245" w:right="245" w:bottom="245" w:left="245" w:header="0" w:footer="0" w:gutter="0"/>
          <w:cols w:num="2" w:space="288"/>
          <w:titlePg/>
          <w:docGrid w:linePitch="360"/>
        </w:sectPr>
      </w:pPr>
    </w:p>
    <w:p w14:paraId="73BEA6DA" w14:textId="77777777" w:rsidR="00C21969" w:rsidRPr="00AD3518" w:rsidRDefault="00C21969" w:rsidP="00C601BE">
      <w:pPr>
        <w:spacing w:after="0" w:line="220" w:lineRule="exact"/>
        <w:rPr>
          <w:b/>
          <w:bCs/>
          <w:i/>
          <w:sz w:val="18"/>
          <w:szCs w:val="18"/>
        </w:rPr>
        <w:sectPr w:rsidR="00C21969" w:rsidRPr="00AD3518" w:rsidSect="00BA1C7E">
          <w:footerReference w:type="default" r:id="rId23"/>
          <w:type w:val="continuous"/>
          <w:pgSz w:w="12240" w:h="15840"/>
          <w:pgMar w:top="245" w:right="245" w:bottom="245" w:left="245" w:header="432" w:footer="0" w:gutter="0"/>
          <w:cols w:num="2" w:space="288"/>
          <w:docGrid w:linePitch="360"/>
        </w:sectPr>
      </w:pPr>
    </w:p>
    <w:tbl>
      <w:tblPr>
        <w:tblStyle w:val="TableGrid"/>
        <w:tblpPr w:leftFromText="180" w:rightFromText="180" w:vertAnchor="text" w:horzAnchor="margin" w:tblpY="982"/>
        <w:tblW w:w="5424" w:type="dxa"/>
        <w:tblLayout w:type="fixed"/>
        <w:tblLook w:val="04A0" w:firstRow="1" w:lastRow="0" w:firstColumn="1" w:lastColumn="0" w:noHBand="0" w:noVBand="1"/>
      </w:tblPr>
      <w:tblGrid>
        <w:gridCol w:w="2429"/>
        <w:gridCol w:w="655"/>
        <w:gridCol w:w="468"/>
        <w:gridCol w:w="655"/>
        <w:gridCol w:w="1217"/>
      </w:tblGrid>
      <w:tr w:rsidR="00BA1C7E" w:rsidRPr="00AD3518" w14:paraId="2B97BCBE" w14:textId="77777777" w:rsidTr="002D5051">
        <w:trPr>
          <w:trHeight w:val="35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93B7B6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lastRenderedPageBreak/>
              <w:br w:type="column"/>
            </w:r>
            <w:r w:rsidRPr="00AD3518">
              <w:rPr>
                <w:b/>
                <w:sz w:val="18"/>
                <w:szCs w:val="18"/>
              </w:rPr>
              <w:br w:type="column"/>
            </w:r>
            <w:r w:rsidRPr="00AD3518">
              <w:rPr>
                <w:rFonts w:cstheme="minorHAnsi"/>
                <w:b/>
                <w:sz w:val="18"/>
                <w:szCs w:val="18"/>
              </w:rPr>
              <w:t xml:space="preserve">NAME OF DATA PRODUCT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B8C93" w14:textId="77777777" w:rsidR="00BA1C7E" w:rsidRPr="00AD3518" w:rsidRDefault="00BA1C7E" w:rsidP="00BA1C7E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C9381" w14:textId="77777777" w:rsidR="00BA1C7E" w:rsidRPr="00AD3518" w:rsidRDefault="00BA1C7E" w:rsidP="00BA1C7E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3AD3A" w14:textId="77777777" w:rsidR="00BA1C7E" w:rsidRPr="00AD3518" w:rsidRDefault="00BA1C7E" w:rsidP="00BA1C7E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L1/L2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98387" w14:textId="77777777" w:rsidR="00BA1C7E" w:rsidRPr="00AD3518" w:rsidRDefault="00BA1C7E" w:rsidP="00BA1C7E">
            <w:pPr>
              <w:spacing w:line="280" w:lineRule="atLeas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DELAYED</w:t>
            </w:r>
          </w:p>
        </w:tc>
      </w:tr>
      <w:tr w:rsidR="00BA1C7E" w:rsidRPr="00AD3518" w14:paraId="4189F479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773091AC" w14:textId="001E18B0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BBA Libor (BBA)</w:t>
            </w:r>
          </w:p>
        </w:tc>
        <w:tc>
          <w:tcPr>
            <w:tcW w:w="655" w:type="dxa"/>
          </w:tcPr>
          <w:p w14:paraId="1D516CB9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57C4A4C9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2DF299F9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4F09AEF6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33EEF" w:rsidRPr="00AD3518" w14:paraId="023A037F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2DC8EFED" w14:textId="56244BFD" w:rsidR="00E33EEF" w:rsidRPr="00AD3518" w:rsidRDefault="00E33EEF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Blockstream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Cryptocurrency (CRY)</w:t>
            </w:r>
          </w:p>
        </w:tc>
        <w:tc>
          <w:tcPr>
            <w:tcW w:w="655" w:type="dxa"/>
          </w:tcPr>
          <w:p w14:paraId="10A932BD" w14:textId="04F0F46E" w:rsidR="00E33EEF" w:rsidRPr="00AD3518" w:rsidRDefault="00E33EEF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460C35C1" w14:textId="77777777" w:rsidR="00E33EEF" w:rsidRPr="00AD3518" w:rsidRDefault="00E33EEF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5D7716B0" w14:textId="62378BB9" w:rsidR="00E33EEF" w:rsidRPr="00AD3518" w:rsidRDefault="00E33EEF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</w:tcPr>
          <w:p w14:paraId="3CAE3528" w14:textId="77777777" w:rsidR="00E33EEF" w:rsidRPr="00AD3518" w:rsidRDefault="00E33EEF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613BA7" w:rsidRPr="00AD3518" w14:paraId="3C61D8AD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543436B9" w14:textId="6844D0D4" w:rsidR="00613BA7" w:rsidRDefault="00613BA7" w:rsidP="000C59A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Coinbase Top of Book Cr</w:t>
            </w:r>
            <w:r w:rsidR="00FB2902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</w:rPr>
              <w:t>ptocurrency (CBA)</w:t>
            </w:r>
          </w:p>
        </w:tc>
        <w:tc>
          <w:tcPr>
            <w:tcW w:w="655" w:type="dxa"/>
          </w:tcPr>
          <w:p w14:paraId="72242A73" w14:textId="0E86A39F" w:rsidR="00613BA7" w:rsidRPr="00AD3518" w:rsidDel="00613BA7" w:rsidRDefault="00613BA7" w:rsidP="000C59A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707D7669" w14:textId="77777777" w:rsidR="00613BA7" w:rsidRPr="00AD3518" w:rsidRDefault="00613BA7" w:rsidP="000C59A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8348512" w14:textId="77777777" w:rsidR="00613BA7" w:rsidRPr="00AD3518" w:rsidDel="00613BA7" w:rsidRDefault="00613BA7" w:rsidP="000C59A0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31E1BECF" w14:textId="77777777" w:rsidR="00613BA7" w:rsidRPr="00AD3518" w:rsidRDefault="00613BA7" w:rsidP="000C59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C59A0" w:rsidRPr="00AD3518" w14:paraId="4EC93045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72E6C6CB" w14:textId="50EA8E8C" w:rsidR="000C59A0" w:rsidRPr="00AD3518" w:rsidRDefault="000C59A0" w:rsidP="000C59A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Coinbase Prime Cryptocurrency (CBS) </w:t>
            </w:r>
            <w:r w:rsidRPr="000C59A0">
              <w:rPr>
                <w:rFonts w:cstheme="minorHAnsi"/>
                <w:bCs/>
                <w:sz w:val="18"/>
                <w:szCs w:val="18"/>
              </w:rPr>
              <w:t>(*only available for Coinbase clients)</w:t>
            </w:r>
          </w:p>
        </w:tc>
        <w:tc>
          <w:tcPr>
            <w:tcW w:w="655" w:type="dxa"/>
          </w:tcPr>
          <w:p w14:paraId="1A6550CF" w14:textId="737ED765" w:rsidR="000C59A0" w:rsidRPr="00AD3518" w:rsidRDefault="000C59A0" w:rsidP="000C59A0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" w:type="dxa"/>
          </w:tcPr>
          <w:p w14:paraId="3BD9E0CD" w14:textId="06CAEC2D" w:rsidR="000C59A0" w:rsidRPr="00AD3518" w:rsidRDefault="00613BA7" w:rsidP="000C59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5" w:type="dxa"/>
          </w:tcPr>
          <w:p w14:paraId="3091FCE1" w14:textId="641A2265" w:rsidR="000C59A0" w:rsidRPr="00AD3518" w:rsidRDefault="000C59A0" w:rsidP="000C59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6B9F067F" w14:textId="77777777" w:rsidR="000C59A0" w:rsidRPr="00AD3518" w:rsidRDefault="000C59A0" w:rsidP="000C59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A1C7E" w:rsidRPr="00AD3518" w14:paraId="2CB27B4C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6474AF61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Borsa 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Italiana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Indices (MII)</w:t>
            </w:r>
          </w:p>
        </w:tc>
        <w:tc>
          <w:tcPr>
            <w:tcW w:w="655" w:type="dxa"/>
          </w:tcPr>
          <w:p w14:paraId="6B790BE1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1DC9A94E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5C70E4D5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7207B4DD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D2668" w:rsidRPr="00AD3518" w14:paraId="127B9989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51C626DF" w14:textId="03581FE7" w:rsidR="00CD2668" w:rsidRPr="00AD3518" w:rsidRDefault="00CD2668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CBOE Cryptocurrencies Indices (CBX) </w:t>
            </w:r>
          </w:p>
        </w:tc>
        <w:tc>
          <w:tcPr>
            <w:tcW w:w="655" w:type="dxa"/>
          </w:tcPr>
          <w:p w14:paraId="39CE14A6" w14:textId="6323417E" w:rsidR="00CD2668" w:rsidRPr="00AD3518" w:rsidRDefault="00CD2668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31FB03C4" w14:textId="77777777" w:rsidR="00CD2668" w:rsidRPr="00AD3518" w:rsidRDefault="00CD2668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05CC396B" w14:textId="77777777" w:rsidR="00CD2668" w:rsidRPr="00AD3518" w:rsidRDefault="00CD2668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06C36EBA" w14:textId="4B7E1F5B" w:rsidR="00CD2668" w:rsidRPr="00AD3518" w:rsidRDefault="00217265" w:rsidP="00217265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1AD68A89" w14:textId="77777777" w:rsidTr="002D5051">
        <w:trPr>
          <w:trHeight w:val="19"/>
        </w:trPr>
        <w:tc>
          <w:tcPr>
            <w:tcW w:w="2429" w:type="dxa"/>
            <w:shd w:val="clear" w:color="auto" w:fill="auto"/>
            <w:noWrap/>
          </w:tcPr>
          <w:p w14:paraId="5630D392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CBOE Market Data Indices (CBI)</w:t>
            </w:r>
          </w:p>
        </w:tc>
        <w:tc>
          <w:tcPr>
            <w:tcW w:w="655" w:type="dxa"/>
          </w:tcPr>
          <w:p w14:paraId="2A317463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464AC677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3DACAE87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24B04F14" w14:textId="539D1870" w:rsidR="00BA1C7E" w:rsidRPr="00AD3518" w:rsidRDefault="00166A2B" w:rsidP="00EE7E63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51F5A361" w14:textId="77777777" w:rsidTr="002D5051">
        <w:trPr>
          <w:trHeight w:val="19"/>
        </w:trPr>
        <w:tc>
          <w:tcPr>
            <w:tcW w:w="2429" w:type="dxa"/>
            <w:noWrap/>
          </w:tcPr>
          <w:p w14:paraId="338D5C33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Deutsche Börse Indices (includes ETF data) (ETI)</w:t>
            </w:r>
          </w:p>
        </w:tc>
        <w:tc>
          <w:tcPr>
            <w:tcW w:w="655" w:type="dxa"/>
          </w:tcPr>
          <w:p w14:paraId="5116CD5E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72D17BDE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6989E2FD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69D6011D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0CD071DD" w14:textId="77777777" w:rsidTr="002D5051">
        <w:trPr>
          <w:trHeight w:val="19"/>
        </w:trPr>
        <w:tc>
          <w:tcPr>
            <w:tcW w:w="2429" w:type="dxa"/>
            <w:noWrap/>
          </w:tcPr>
          <w:p w14:paraId="5789A504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Deutsche Börse STOXX Volatility Indices (DBV)</w:t>
            </w:r>
          </w:p>
        </w:tc>
        <w:tc>
          <w:tcPr>
            <w:tcW w:w="655" w:type="dxa"/>
          </w:tcPr>
          <w:p w14:paraId="568C700E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</w:tcPr>
          <w:p w14:paraId="64B3AE9D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5C3E9B98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68E3F8E6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A1C7E" w:rsidRPr="00AD3518" w14:paraId="53713490" w14:textId="77777777" w:rsidTr="002D5051">
        <w:trPr>
          <w:trHeight w:val="19"/>
        </w:trPr>
        <w:tc>
          <w:tcPr>
            <w:tcW w:w="2429" w:type="dxa"/>
            <w:noWrap/>
          </w:tcPr>
          <w:p w14:paraId="33ACEAC0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Dow Jones Indices (DJI)</w:t>
            </w:r>
          </w:p>
        </w:tc>
        <w:tc>
          <w:tcPr>
            <w:tcW w:w="655" w:type="dxa"/>
          </w:tcPr>
          <w:p w14:paraId="0BB69BD3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7784997B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35010DDA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047D3BF1" w14:textId="77777777" w:rsidR="00BA1C7E" w:rsidRPr="00AD3518" w:rsidRDefault="00BA1C7E" w:rsidP="00BA1C7E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A1C7E" w:rsidRPr="00AD3518" w14:paraId="0C6A8B31" w14:textId="77777777" w:rsidTr="002D5051">
        <w:trPr>
          <w:trHeight w:val="19"/>
        </w:trPr>
        <w:tc>
          <w:tcPr>
            <w:tcW w:w="2429" w:type="dxa"/>
            <w:noWrap/>
          </w:tcPr>
          <w:p w14:paraId="38FA5201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Eurex STOXX indices (STX)</w:t>
            </w:r>
          </w:p>
        </w:tc>
        <w:tc>
          <w:tcPr>
            <w:tcW w:w="655" w:type="dxa"/>
          </w:tcPr>
          <w:p w14:paraId="7628B418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129204B7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06CBAE09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4EE042AB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35AB3B5B" w14:textId="77777777" w:rsidTr="002D5051">
        <w:trPr>
          <w:trHeight w:val="19"/>
        </w:trPr>
        <w:tc>
          <w:tcPr>
            <w:tcW w:w="2429" w:type="dxa"/>
            <w:noWrap/>
          </w:tcPr>
          <w:p w14:paraId="6E6A8DF2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Euronext Indices Basic Service (ENM)</w:t>
            </w:r>
          </w:p>
        </w:tc>
        <w:tc>
          <w:tcPr>
            <w:tcW w:w="655" w:type="dxa"/>
          </w:tcPr>
          <w:p w14:paraId="08D47122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5904CE56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286CA0CB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6A6166A2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b/>
                <w:sz w:val="18"/>
                <w:szCs w:val="18"/>
              </w:rPr>
            </w:r>
            <w:r w:rsidR="004045C7">
              <w:rPr>
                <w:b/>
                <w:sz w:val="18"/>
                <w:szCs w:val="18"/>
              </w:rPr>
              <w:fldChar w:fldCharType="separate"/>
            </w:r>
            <w:r w:rsidRPr="00AD35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7C68AB85" w14:textId="77777777" w:rsidTr="002D5051">
        <w:trPr>
          <w:trHeight w:val="191"/>
        </w:trPr>
        <w:tc>
          <w:tcPr>
            <w:tcW w:w="2429" w:type="dxa"/>
            <w:noWrap/>
          </w:tcPr>
          <w:p w14:paraId="0510D81F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Euronext Main Indices (ENI)</w:t>
            </w:r>
          </w:p>
        </w:tc>
        <w:tc>
          <w:tcPr>
            <w:tcW w:w="655" w:type="dxa"/>
          </w:tcPr>
          <w:p w14:paraId="723FCA5E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14435F54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77ACD1A2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3BF335ED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78BD565E" w14:textId="77777777" w:rsidTr="002D5051">
        <w:trPr>
          <w:trHeight w:val="19"/>
        </w:trPr>
        <w:tc>
          <w:tcPr>
            <w:tcW w:w="2429" w:type="dxa"/>
            <w:noWrap/>
          </w:tcPr>
          <w:p w14:paraId="56891922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European Indices (EUI)</w:t>
            </w:r>
          </w:p>
        </w:tc>
        <w:tc>
          <w:tcPr>
            <w:tcW w:w="655" w:type="dxa"/>
          </w:tcPr>
          <w:p w14:paraId="64960517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6A4E3817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55CACA68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5FC3E1E1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A1C7E" w:rsidRPr="00AD3518" w14:paraId="16BBB381" w14:textId="77777777" w:rsidTr="002D5051">
        <w:trPr>
          <w:trHeight w:val="19"/>
        </w:trPr>
        <w:tc>
          <w:tcPr>
            <w:tcW w:w="2429" w:type="dxa"/>
            <w:noWrap/>
          </w:tcPr>
          <w:p w14:paraId="12A747FE" w14:textId="22A9EE2E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Forex-GTIS (FXG)</w:t>
            </w:r>
          </w:p>
        </w:tc>
        <w:tc>
          <w:tcPr>
            <w:tcW w:w="655" w:type="dxa"/>
          </w:tcPr>
          <w:p w14:paraId="368187DB" w14:textId="6C2325C9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</w:tcPr>
          <w:p w14:paraId="2245B952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67E353AE" w14:textId="75CB8E5E" w:rsidR="00BA1C7E" w:rsidRPr="00AD3518" w:rsidRDefault="00CF4988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</w:tcPr>
          <w:p w14:paraId="170E32B3" w14:textId="496887F1" w:rsidR="00BA1C7E" w:rsidRPr="00AD3518" w:rsidRDefault="006F7624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106618">
              <w:rPr>
                <w:rFonts w:cstheme="minorHAnsi"/>
                <w:b/>
                <w:sz w:val="18"/>
                <w:szCs w:val="18"/>
              </w:rPr>
              <w:t xml:space="preserve"> (L1/L2)</w:t>
            </w:r>
          </w:p>
        </w:tc>
      </w:tr>
      <w:tr w:rsidR="00BA1C7E" w:rsidRPr="00AD3518" w14:paraId="1DD5FAE5" w14:textId="77777777" w:rsidTr="002D5051">
        <w:trPr>
          <w:trHeight w:val="19"/>
        </w:trPr>
        <w:tc>
          <w:tcPr>
            <w:tcW w:w="2429" w:type="dxa"/>
            <w:noWrap/>
          </w:tcPr>
          <w:p w14:paraId="39E2115D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Forex-GTIS Precious </w:t>
            </w:r>
            <w:proofErr w:type="gramStart"/>
            <w:r w:rsidRPr="00AD3518">
              <w:rPr>
                <w:rFonts w:cstheme="minorHAnsi"/>
                <w:b/>
                <w:sz w:val="18"/>
                <w:szCs w:val="18"/>
              </w:rPr>
              <w:t>Metals  (</w:t>
            </w:r>
            <w:proofErr w:type="gramEnd"/>
            <w:r w:rsidRPr="00AD3518">
              <w:rPr>
                <w:rFonts w:cstheme="minorHAnsi"/>
                <w:b/>
                <w:sz w:val="18"/>
                <w:szCs w:val="18"/>
              </w:rPr>
              <w:t>GCM)</w:t>
            </w:r>
          </w:p>
        </w:tc>
        <w:tc>
          <w:tcPr>
            <w:tcW w:w="655" w:type="dxa"/>
          </w:tcPr>
          <w:p w14:paraId="30C0EAC9" w14:textId="1B6D9060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</w:tcPr>
          <w:p w14:paraId="73FBFE3A" w14:textId="55486C32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2554F5C7" w14:textId="1D21B2CC" w:rsidR="00BA1C7E" w:rsidRPr="00AD3518" w:rsidRDefault="00CF4988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</w:tcPr>
          <w:p w14:paraId="47658CC3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A1C7E" w:rsidRPr="00AD3518" w14:paraId="70575C85" w14:textId="77777777" w:rsidTr="002D5051">
        <w:trPr>
          <w:trHeight w:val="19"/>
        </w:trPr>
        <w:tc>
          <w:tcPr>
            <w:tcW w:w="2429" w:type="dxa"/>
            <w:noWrap/>
          </w:tcPr>
          <w:p w14:paraId="511F8E25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FTSE Indices </w:t>
            </w:r>
            <w:r w:rsidRPr="00AD3518">
              <w:rPr>
                <w:rFonts w:cstheme="minorHAnsi"/>
                <w:b/>
                <w:i/>
                <w:sz w:val="18"/>
                <w:szCs w:val="18"/>
              </w:rPr>
              <w:t>(Not available with the Eze OMS) (FTI)</w:t>
            </w:r>
          </w:p>
        </w:tc>
        <w:tc>
          <w:tcPr>
            <w:tcW w:w="655" w:type="dxa"/>
          </w:tcPr>
          <w:p w14:paraId="429D00FA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1C3B4100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28397019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3E8E336B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0CCBCE93" w14:textId="77777777" w:rsidTr="002D5051">
        <w:trPr>
          <w:trHeight w:val="19"/>
        </w:trPr>
        <w:tc>
          <w:tcPr>
            <w:tcW w:w="2429" w:type="dxa"/>
            <w:noWrap/>
          </w:tcPr>
          <w:p w14:paraId="6285538C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FTSE Indices Private Investor </w:t>
            </w:r>
            <w:proofErr w:type="gramStart"/>
            <w:r w:rsidRPr="00AD3518">
              <w:rPr>
                <w:rFonts w:cstheme="minorHAnsi"/>
                <w:b/>
                <w:sz w:val="18"/>
                <w:szCs w:val="18"/>
              </w:rPr>
              <w:t>Non Pro</w:t>
            </w:r>
            <w:proofErr w:type="gramEnd"/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D3518">
              <w:rPr>
                <w:rFonts w:cstheme="minorHAnsi"/>
                <w:b/>
                <w:i/>
                <w:sz w:val="18"/>
                <w:szCs w:val="18"/>
              </w:rPr>
              <w:t>(Not available with the Eze OMS) (FTI)</w:t>
            </w:r>
          </w:p>
        </w:tc>
        <w:tc>
          <w:tcPr>
            <w:tcW w:w="655" w:type="dxa"/>
          </w:tcPr>
          <w:p w14:paraId="2FE31E2B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37091836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72F2991E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5FE91B5E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2F002C" w:rsidRPr="00AD3518" w14:paraId="6BBDB0A8" w14:textId="77777777" w:rsidTr="002D5051">
        <w:trPr>
          <w:trHeight w:val="19"/>
        </w:trPr>
        <w:tc>
          <w:tcPr>
            <w:tcW w:w="2429" w:type="dxa"/>
            <w:noWrap/>
          </w:tcPr>
          <w:p w14:paraId="67EA797B" w14:textId="70138E88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FTSE Italia Indices</w:t>
            </w:r>
            <w:r w:rsidR="00CD0CF9">
              <w:rPr>
                <w:rFonts w:cstheme="minorHAnsi"/>
                <w:b/>
                <w:sz w:val="18"/>
                <w:szCs w:val="18"/>
              </w:rPr>
              <w:t xml:space="preserve"> (MII)</w:t>
            </w:r>
          </w:p>
        </w:tc>
        <w:tc>
          <w:tcPr>
            <w:tcW w:w="655" w:type="dxa"/>
          </w:tcPr>
          <w:p w14:paraId="29434937" w14:textId="71111D21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155C7B2E" w14:textId="77777777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7EE5008" w14:textId="77777777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2C80FEDA" w14:textId="77777777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F002C" w:rsidRPr="00AD3518" w14:paraId="3C71360C" w14:textId="77777777" w:rsidTr="002D5051">
        <w:trPr>
          <w:trHeight w:val="19"/>
        </w:trPr>
        <w:tc>
          <w:tcPr>
            <w:tcW w:w="2429" w:type="dxa"/>
            <w:noWrap/>
          </w:tcPr>
          <w:p w14:paraId="40B35224" w14:textId="4DCF2E1D" w:rsidR="002F002C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FTSE Singapore Indices</w:t>
            </w:r>
            <w:r w:rsidR="00CD0CF9">
              <w:rPr>
                <w:rFonts w:cstheme="minorHAnsi"/>
                <w:b/>
                <w:sz w:val="18"/>
                <w:szCs w:val="18"/>
              </w:rPr>
              <w:t xml:space="preserve"> (STI)</w:t>
            </w:r>
          </w:p>
        </w:tc>
        <w:tc>
          <w:tcPr>
            <w:tcW w:w="655" w:type="dxa"/>
          </w:tcPr>
          <w:p w14:paraId="3A62F330" w14:textId="5E333BF4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0118568D" w14:textId="77777777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DBD1818" w14:textId="77777777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7A522563" w14:textId="6E8FF86C" w:rsidR="002F002C" w:rsidRPr="00AD3518" w:rsidRDefault="002F002C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0BA45B84" w14:textId="77777777" w:rsidTr="002D5051">
        <w:trPr>
          <w:trHeight w:val="19"/>
        </w:trPr>
        <w:tc>
          <w:tcPr>
            <w:tcW w:w="2429" w:type="dxa"/>
            <w:noWrap/>
          </w:tcPr>
          <w:p w14:paraId="01C0A6B0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GTIS Money Markets (FXM)</w:t>
            </w:r>
          </w:p>
        </w:tc>
        <w:tc>
          <w:tcPr>
            <w:tcW w:w="655" w:type="dxa"/>
          </w:tcPr>
          <w:p w14:paraId="56C753C6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37E5C8B8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05521A02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39BC6611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A1C7E" w:rsidRPr="00AD3518" w14:paraId="2BB82A21" w14:textId="77777777" w:rsidTr="002D5051">
        <w:trPr>
          <w:trHeight w:val="19"/>
        </w:trPr>
        <w:tc>
          <w:tcPr>
            <w:tcW w:w="2429" w:type="dxa"/>
            <w:noWrap/>
          </w:tcPr>
          <w:p w14:paraId="3B57996A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Hang Seng Indices (HSI)</w:t>
            </w:r>
          </w:p>
        </w:tc>
        <w:tc>
          <w:tcPr>
            <w:tcW w:w="655" w:type="dxa"/>
          </w:tcPr>
          <w:p w14:paraId="2AA555C5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23D82D60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3751884D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4DE6D64D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3B56A6B4" w14:textId="77777777" w:rsidTr="002D5051">
        <w:trPr>
          <w:trHeight w:val="19"/>
        </w:trPr>
        <w:tc>
          <w:tcPr>
            <w:tcW w:w="2429" w:type="dxa"/>
            <w:noWrap/>
          </w:tcPr>
          <w:p w14:paraId="53350BE1" w14:textId="74B3E0A3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NASDAQ Indices (NAI)</w:t>
            </w:r>
          </w:p>
        </w:tc>
        <w:tc>
          <w:tcPr>
            <w:tcW w:w="655" w:type="dxa"/>
          </w:tcPr>
          <w:p w14:paraId="3515930D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</w:tcPr>
          <w:p w14:paraId="17B72B2C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68FFFB77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</w:tcPr>
          <w:p w14:paraId="3F5F052F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BA1C7E" w:rsidRPr="00AD3518" w14:paraId="4C368CBE" w14:textId="77777777" w:rsidTr="002D5051">
        <w:trPr>
          <w:trHeight w:val="19"/>
        </w:trPr>
        <w:tc>
          <w:tcPr>
            <w:tcW w:w="2429" w:type="dxa"/>
            <w:noWrap/>
          </w:tcPr>
          <w:p w14:paraId="06461DF0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Nikkei Indices (NIK)</w:t>
            </w:r>
          </w:p>
        </w:tc>
        <w:tc>
          <w:tcPr>
            <w:tcW w:w="655" w:type="dxa"/>
          </w:tcPr>
          <w:p w14:paraId="4AF72BCC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07580003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560530D4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202F28A2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A1C7E" w:rsidRPr="00AD3518" w14:paraId="60F257EB" w14:textId="77777777" w:rsidTr="002D5051">
        <w:trPr>
          <w:trHeight w:val="19"/>
        </w:trPr>
        <w:tc>
          <w:tcPr>
            <w:tcW w:w="2429" w:type="dxa"/>
            <w:noWrap/>
          </w:tcPr>
          <w:p w14:paraId="63C23036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RussellTick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Index (RUS)</w:t>
            </w:r>
          </w:p>
        </w:tc>
        <w:tc>
          <w:tcPr>
            <w:tcW w:w="655" w:type="dxa"/>
          </w:tcPr>
          <w:p w14:paraId="2BC063A1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0EBAF36E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35197191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2C26A0C4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  <w:tr w:rsidR="00BA1C7E" w:rsidRPr="00AD3518" w14:paraId="5C566800" w14:textId="77777777" w:rsidTr="002D5051">
        <w:trPr>
          <w:trHeight w:val="19"/>
        </w:trPr>
        <w:tc>
          <w:tcPr>
            <w:tcW w:w="2429" w:type="dxa"/>
            <w:noWrap/>
          </w:tcPr>
          <w:p w14:paraId="4C23AE9B" w14:textId="77777777" w:rsidR="00BA1C7E" w:rsidRPr="00AD3518" w:rsidRDefault="00BA1C7E" w:rsidP="00BA1C7E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S&amp;P Indices Fee (SPI)</w:t>
            </w:r>
          </w:p>
        </w:tc>
        <w:tc>
          <w:tcPr>
            <w:tcW w:w="655" w:type="dxa"/>
          </w:tcPr>
          <w:p w14:paraId="0FEE6127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4711DDC6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375CF25" w14:textId="77777777" w:rsidR="00BA1C7E" w:rsidRPr="00AD3518" w:rsidRDefault="00BA1C7E" w:rsidP="00BA1C7E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29988C98" w14:textId="4CBF689D" w:rsidR="00BA1C7E" w:rsidRPr="00AD3518" w:rsidRDefault="00166A2B" w:rsidP="00BA1C7E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2D5051" w:rsidRPr="00AD3518" w14:paraId="72F53CD9" w14:textId="77777777" w:rsidTr="002D5051">
        <w:trPr>
          <w:trHeight w:val="19"/>
        </w:trPr>
        <w:tc>
          <w:tcPr>
            <w:tcW w:w="2429" w:type="dxa"/>
            <w:noWrap/>
          </w:tcPr>
          <w:p w14:paraId="3A01A9B2" w14:textId="2D466B04" w:rsidR="002D5051" w:rsidRPr="00AD3518" w:rsidRDefault="002D5051" w:rsidP="002D5051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SIX Swiss Exchange Swiss Reference Rates (SWR)</w:t>
            </w:r>
          </w:p>
        </w:tc>
        <w:tc>
          <w:tcPr>
            <w:tcW w:w="655" w:type="dxa"/>
          </w:tcPr>
          <w:p w14:paraId="6CD7DE50" w14:textId="4FBA3ED3" w:rsidR="002D5051" w:rsidRPr="00AD3518" w:rsidRDefault="002D5051" w:rsidP="002D5051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30789C4C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E10E58E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0943392E" w14:textId="6084952D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(L1)</w:t>
            </w:r>
          </w:p>
        </w:tc>
      </w:tr>
      <w:tr w:rsidR="002D5051" w:rsidRPr="00AD3518" w14:paraId="20755D05" w14:textId="77777777" w:rsidTr="002D5051">
        <w:trPr>
          <w:trHeight w:val="19"/>
        </w:trPr>
        <w:tc>
          <w:tcPr>
            <w:tcW w:w="2429" w:type="dxa"/>
            <w:noWrap/>
          </w:tcPr>
          <w:p w14:paraId="6DD81CB7" w14:textId="169DFDD2" w:rsidR="002D5051" w:rsidRDefault="002D5051" w:rsidP="002D5051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SIX Swiss Exchange </w:t>
            </w:r>
            <w:r w:rsidRPr="00AD3518">
              <w:rPr>
                <w:rFonts w:cstheme="minorHAnsi"/>
                <w:b/>
                <w:sz w:val="18"/>
                <w:szCs w:val="18"/>
              </w:rPr>
              <w:t>Swiss Indices (SWI)</w:t>
            </w:r>
          </w:p>
        </w:tc>
        <w:tc>
          <w:tcPr>
            <w:tcW w:w="655" w:type="dxa"/>
          </w:tcPr>
          <w:p w14:paraId="16D28F65" w14:textId="0976CB11" w:rsidR="002D5051" w:rsidRPr="00AD3518" w:rsidRDefault="002D5051" w:rsidP="002D5051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26D3D35C" w14:textId="32A0070A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</w:tcPr>
          <w:p w14:paraId="276036B5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311F7FC4" w14:textId="5817EB56" w:rsidR="002D5051" w:rsidRPr="00AD3518" w:rsidRDefault="002D5051" w:rsidP="002D5051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2D5051" w:rsidRPr="00AD3518" w14:paraId="48E5834F" w14:textId="77777777" w:rsidTr="002D5051">
        <w:trPr>
          <w:trHeight w:val="19"/>
        </w:trPr>
        <w:tc>
          <w:tcPr>
            <w:tcW w:w="2429" w:type="dxa"/>
            <w:noWrap/>
            <w:hideMark/>
          </w:tcPr>
          <w:p w14:paraId="79E0BE75" w14:textId="77777777" w:rsidR="002D5051" w:rsidRPr="00AD3518" w:rsidRDefault="002D5051" w:rsidP="002D5051">
            <w:pPr>
              <w:spacing w:line="280" w:lineRule="exact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t>Stoxx Indices (DBV)</w:t>
            </w:r>
          </w:p>
        </w:tc>
        <w:tc>
          <w:tcPr>
            <w:tcW w:w="655" w:type="dxa"/>
          </w:tcPr>
          <w:p w14:paraId="3DF79560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14:paraId="5E2A5BEA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1A150A42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14:paraId="34374F2F" w14:textId="77777777" w:rsidR="002D5051" w:rsidRPr="00AD3518" w:rsidRDefault="002D5051" w:rsidP="002D5051">
            <w:pPr>
              <w:spacing w:line="280" w:lineRule="exac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49" w:tblpY="1099"/>
        <w:tblW w:w="5215" w:type="dxa"/>
        <w:tblLayout w:type="fixed"/>
        <w:tblLook w:val="04A0" w:firstRow="1" w:lastRow="0" w:firstColumn="1" w:lastColumn="0" w:noHBand="0" w:noVBand="1"/>
      </w:tblPr>
      <w:tblGrid>
        <w:gridCol w:w="2335"/>
        <w:gridCol w:w="2880"/>
      </w:tblGrid>
      <w:tr w:rsidR="00DF23DA" w:rsidRPr="00AD3518" w14:paraId="6ECB48EF" w14:textId="77777777" w:rsidTr="00DF23DA">
        <w:trPr>
          <w:trHeight w:val="19"/>
        </w:trPr>
        <w:tc>
          <w:tcPr>
            <w:tcW w:w="5215" w:type="dxa"/>
            <w:gridSpan w:val="2"/>
            <w:shd w:val="clear" w:color="auto" w:fill="D9D9D9" w:themeFill="background1" w:themeFillShade="D9"/>
            <w:noWrap/>
          </w:tcPr>
          <w:p w14:paraId="0EEE80AE" w14:textId="77777777" w:rsidR="00DF23DA" w:rsidRPr="00AD3518" w:rsidRDefault="00DF23DA" w:rsidP="00DF23DA">
            <w:pPr>
              <w:spacing w:line="240" w:lineRule="exact"/>
              <w:contextualSpacing/>
              <w:mirrorIndents/>
              <w:jc w:val="center"/>
              <w:rPr>
                <w:b/>
                <w:bCs/>
                <w:sz w:val="18"/>
                <w:szCs w:val="18"/>
              </w:rPr>
            </w:pPr>
            <w:r w:rsidRPr="00AD3518">
              <w:rPr>
                <w:b/>
                <w:bCs/>
                <w:sz w:val="18"/>
                <w:szCs w:val="18"/>
              </w:rPr>
              <w:t>NEWS SOURCES (No Region Applies)</w:t>
            </w:r>
          </w:p>
        </w:tc>
      </w:tr>
      <w:tr w:rsidR="00DF23DA" w:rsidRPr="00AD3518" w14:paraId="3560831F" w14:textId="77777777" w:rsidTr="00DF23DA">
        <w:trPr>
          <w:trHeight w:val="19"/>
        </w:trPr>
        <w:tc>
          <w:tcPr>
            <w:tcW w:w="2335" w:type="dxa"/>
            <w:noWrap/>
          </w:tcPr>
          <w:p w14:paraId="07B9DBBC" w14:textId="77777777" w:rsidR="00DF23DA" w:rsidRPr="00AD3518" w:rsidRDefault="00DF23DA" w:rsidP="00DF23DA">
            <w:pPr>
              <w:spacing w:line="280" w:lineRule="exact"/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Comtex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 xml:space="preserve"> Equity (</w:t>
            </w:r>
            <w:proofErr w:type="spellStart"/>
            <w:r w:rsidRPr="00AD3518">
              <w:rPr>
                <w:rFonts w:cstheme="minorHAnsi"/>
                <w:b/>
                <w:sz w:val="18"/>
                <w:szCs w:val="18"/>
              </w:rPr>
              <w:t>Billset</w:t>
            </w:r>
            <w:proofErr w:type="spellEnd"/>
            <w:r w:rsidRPr="00AD351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002F65C9" w14:textId="77777777" w:rsidR="00DF23DA" w:rsidRPr="00AD3518" w:rsidRDefault="00DF23DA" w:rsidP="00DF23DA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C5BE0" w:rsidRPr="00AD3518" w14:paraId="26517C54" w14:textId="77777777" w:rsidTr="00DF23DA">
        <w:trPr>
          <w:trHeight w:val="19"/>
        </w:trPr>
        <w:tc>
          <w:tcPr>
            <w:tcW w:w="2335" w:type="dxa"/>
            <w:noWrap/>
          </w:tcPr>
          <w:p w14:paraId="33150D58" w14:textId="2A89397B" w:rsidR="00EC5BE0" w:rsidRPr="00AD3518" w:rsidRDefault="00EC5BE0" w:rsidP="00DF23DA">
            <w:pPr>
              <w:spacing w:line="280" w:lineRule="exact"/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Midnight Trader Earning</w:t>
            </w:r>
            <w:r w:rsidR="00331FB5">
              <w:rPr>
                <w:rFonts w:cstheme="minorHAnsi"/>
                <w:b/>
                <w:sz w:val="18"/>
                <w:szCs w:val="18"/>
              </w:rPr>
              <w:t>s</w:t>
            </w:r>
            <w:r>
              <w:rPr>
                <w:rFonts w:cstheme="minorHAnsi"/>
                <w:b/>
                <w:sz w:val="18"/>
                <w:szCs w:val="18"/>
              </w:rPr>
              <w:t xml:space="preserve"> Book (MTE)</w:t>
            </w:r>
          </w:p>
        </w:tc>
        <w:tc>
          <w:tcPr>
            <w:tcW w:w="2880" w:type="dxa"/>
          </w:tcPr>
          <w:p w14:paraId="49ADA9A2" w14:textId="0335EBA5" w:rsidR="00EC5BE0" w:rsidRPr="00AD3518" w:rsidRDefault="0006717C" w:rsidP="00DF23DA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C5BE0" w:rsidRPr="00AD3518" w14:paraId="23C5D80F" w14:textId="77777777" w:rsidTr="00DF23DA">
        <w:trPr>
          <w:trHeight w:val="19"/>
        </w:trPr>
        <w:tc>
          <w:tcPr>
            <w:tcW w:w="2335" w:type="dxa"/>
            <w:noWrap/>
          </w:tcPr>
          <w:p w14:paraId="35146DD2" w14:textId="340BC58C" w:rsidR="00EC5BE0" w:rsidRPr="00AD3518" w:rsidRDefault="00EC5BE0" w:rsidP="00DF23DA">
            <w:pPr>
              <w:spacing w:line="280" w:lineRule="exact"/>
              <w:contextualSpacing/>
              <w:mirrorIndent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Midnight Trader News (MTN)</w:t>
            </w:r>
          </w:p>
        </w:tc>
        <w:tc>
          <w:tcPr>
            <w:tcW w:w="2880" w:type="dxa"/>
          </w:tcPr>
          <w:p w14:paraId="6BC5F145" w14:textId="1A6D7652" w:rsidR="00EC5BE0" w:rsidRPr="00AD3518" w:rsidRDefault="0006717C" w:rsidP="00DF23DA">
            <w:pPr>
              <w:spacing w:line="28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D3518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518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4045C7">
              <w:rPr>
                <w:rFonts w:cstheme="minorHAnsi"/>
                <w:b/>
                <w:sz w:val="18"/>
                <w:szCs w:val="18"/>
              </w:rPr>
            </w:r>
            <w:r w:rsidR="004045C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AD3518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1128"/>
        <w:tblW w:w="5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7"/>
      </w:tblGrid>
      <w:tr w:rsidR="00DF23DA" w:rsidRPr="00AD3518" w14:paraId="1A34BDB0" w14:textId="77777777" w:rsidTr="00DF23DA">
        <w:trPr>
          <w:trHeight w:val="170"/>
        </w:trPr>
        <w:tc>
          <w:tcPr>
            <w:tcW w:w="5217" w:type="dxa"/>
            <w:shd w:val="clear" w:color="auto" w:fill="D9D9D9" w:themeFill="background1" w:themeFillShade="D9"/>
          </w:tcPr>
          <w:p w14:paraId="0E3B7644" w14:textId="77777777" w:rsidR="00DF23DA" w:rsidRPr="00AD3518" w:rsidRDefault="00DF23DA" w:rsidP="00DF23DA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AD3518">
              <w:rPr>
                <w:b/>
                <w:bCs/>
                <w:sz w:val="18"/>
                <w:szCs w:val="18"/>
              </w:rPr>
              <w:t>INDICES SOURCES (No Region Applies)</w:t>
            </w:r>
          </w:p>
        </w:tc>
      </w:tr>
    </w:tbl>
    <w:p w14:paraId="66816718" w14:textId="43FD3762" w:rsidR="00170140" w:rsidRPr="00DF23DA" w:rsidRDefault="00170140" w:rsidP="00DF23DA"/>
    <w:sectPr w:rsidR="00170140" w:rsidRPr="00DF23DA" w:rsidSect="00D57301">
      <w:headerReference w:type="default" r:id="rId24"/>
      <w:type w:val="continuous"/>
      <w:pgSz w:w="12240" w:h="15840"/>
      <w:pgMar w:top="245" w:right="245" w:bottom="245" w:left="245" w:header="0" w:footer="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C71B" w14:textId="77777777" w:rsidR="001A5899" w:rsidRDefault="001A5899" w:rsidP="009C6A91">
      <w:pPr>
        <w:spacing w:after="0" w:line="240" w:lineRule="auto"/>
      </w:pPr>
      <w:r>
        <w:separator/>
      </w:r>
    </w:p>
    <w:p w14:paraId="038B4974" w14:textId="77777777" w:rsidR="001A5899" w:rsidRDefault="001A5899"/>
  </w:endnote>
  <w:endnote w:type="continuationSeparator" w:id="0">
    <w:p w14:paraId="7FF2F6C2" w14:textId="77777777" w:rsidR="001A5899" w:rsidRDefault="001A5899" w:rsidP="009C6A91">
      <w:pPr>
        <w:spacing w:after="0" w:line="240" w:lineRule="auto"/>
      </w:pPr>
      <w:r>
        <w:continuationSeparator/>
      </w:r>
    </w:p>
    <w:p w14:paraId="26F165BE" w14:textId="77777777" w:rsidR="001A5899" w:rsidRDefault="001A5899"/>
  </w:endnote>
  <w:endnote w:type="continuationNotice" w:id="1">
    <w:p w14:paraId="419ECDFC" w14:textId="77777777" w:rsidR="001A5899" w:rsidRDefault="001A5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6131" w14:textId="77777777" w:rsidR="00464865" w:rsidRDefault="00464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DEB1" w14:textId="77777777" w:rsidR="001A5899" w:rsidRPr="00834A93" w:rsidRDefault="001A5899" w:rsidP="00BA5BA1">
    <w:pPr>
      <w:pStyle w:val="Footer"/>
      <w:jc w:val="center"/>
      <w:rPr>
        <w:sz w:val="20"/>
        <w:szCs w:val="20"/>
      </w:rPr>
    </w:pPr>
  </w:p>
  <w:p w14:paraId="08F54483" w14:textId="53177F6D" w:rsidR="001A5899" w:rsidRPr="00F3496A" w:rsidRDefault="001A5899">
    <w:pPr>
      <w:pStyle w:val="Footer"/>
      <w:rPr>
        <w:sz w:val="16"/>
        <w:szCs w:val="16"/>
      </w:rPr>
    </w:pPr>
    <w:r w:rsidRPr="00F3496A">
      <w:rPr>
        <w:sz w:val="16"/>
        <w:szCs w:val="16"/>
      </w:rPr>
      <w:t xml:space="preserve">100 S. Wacker Drive, </w:t>
    </w:r>
    <w:r>
      <w:rPr>
        <w:sz w:val="16"/>
        <w:szCs w:val="16"/>
      </w:rPr>
      <w:t>19</w:t>
    </w:r>
    <w:r w:rsidRPr="00F3496A">
      <w:rPr>
        <w:sz w:val="16"/>
        <w:szCs w:val="16"/>
      </w:rPr>
      <w:t xml:space="preserve">th Floor Chicago IL 60606 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ab/>
      <w:t xml:space="preserve">                                                                </w:t>
    </w:r>
    <w:r>
      <w:rPr>
        <w:sz w:val="16"/>
        <w:szCs w:val="16"/>
      </w:rPr>
      <w:t xml:space="preserve">                                            </w:t>
    </w:r>
    <w:r w:rsidRPr="00F3496A">
      <w:rPr>
        <w:sz w:val="16"/>
        <w:szCs w:val="16"/>
      </w:rPr>
      <w:t xml:space="preserve">   </w:t>
    </w:r>
    <w:proofErr w:type="gramStart"/>
    <w:r>
      <w:rPr>
        <w:sz w:val="16"/>
        <w:szCs w:val="16"/>
      </w:rPr>
      <w:tab/>
      <w:t xml:space="preserve">  </w:t>
    </w:r>
    <w:r w:rsidRPr="0007207F">
      <w:rPr>
        <w:sz w:val="16"/>
        <w:szCs w:val="16"/>
      </w:rPr>
      <w:t>Eze</w:t>
    </w:r>
    <w:proofErr w:type="gramEnd"/>
    <w:r w:rsidRPr="0007207F">
      <w:rPr>
        <w:sz w:val="16"/>
        <w:szCs w:val="16"/>
      </w:rPr>
      <w:t xml:space="preserve"> </w:t>
    </w:r>
    <w:r>
      <w:rPr>
        <w:sz w:val="16"/>
        <w:szCs w:val="16"/>
      </w:rPr>
      <w:t>Market</w:t>
    </w:r>
    <w:r w:rsidRPr="0007207F">
      <w:rPr>
        <w:sz w:val="16"/>
        <w:szCs w:val="16"/>
      </w:rPr>
      <w:t xml:space="preserve"> Data Form (</w:t>
    </w:r>
    <w:proofErr w:type="spellStart"/>
    <w:r w:rsidRPr="0007207F">
      <w:rPr>
        <w:sz w:val="16"/>
        <w:szCs w:val="16"/>
      </w:rPr>
      <w:t>RealTick</w:t>
    </w:r>
    <w:proofErr w:type="spellEnd"/>
    <w:r w:rsidRPr="0007207F">
      <w:rPr>
        <w:sz w:val="16"/>
        <w:szCs w:val="16"/>
      </w:rPr>
      <w:t xml:space="preserve"> Data Form)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>T 800-997-9630 e-Fax: 312-264-0093 ems.ti@</w:t>
    </w:r>
    <w:r>
      <w:rPr>
        <w:sz w:val="16"/>
        <w:szCs w:val="16"/>
      </w:rPr>
      <w:t>sscinc</w:t>
    </w:r>
    <w:r w:rsidRPr="00F3496A">
      <w:rPr>
        <w:sz w:val="16"/>
        <w:szCs w:val="16"/>
      </w:rPr>
      <w:t xml:space="preserve">.com </w:t>
    </w:r>
    <w:r w:rsidRPr="00F3496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Page </w:t>
    </w:r>
    <w:r w:rsidRPr="00F3496A">
      <w:rPr>
        <w:sz w:val="16"/>
        <w:szCs w:val="16"/>
      </w:rPr>
      <w:fldChar w:fldCharType="begin"/>
    </w:r>
    <w:r w:rsidRPr="00F3496A">
      <w:rPr>
        <w:sz w:val="16"/>
        <w:szCs w:val="16"/>
      </w:rPr>
      <w:instrText xml:space="preserve"> PAGE   \* MERGEFORMAT </w:instrText>
    </w:r>
    <w:r w:rsidRPr="00F3496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3496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>
      <w:rPr>
        <w:sz w:val="16"/>
        <w:szCs w:val="16"/>
      </w:rPr>
      <w:t>of 4</w:t>
    </w:r>
    <w:r w:rsidRPr="00F3496A"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 w:rsidR="00204A97">
      <w:rPr>
        <w:sz w:val="16"/>
        <w:szCs w:val="16"/>
      </w:rPr>
      <w:t xml:space="preserve">                </w:t>
    </w:r>
    <w:r w:rsidR="00555AC0">
      <w:rPr>
        <w:sz w:val="16"/>
        <w:szCs w:val="16"/>
      </w:rPr>
      <w:t>4</w:t>
    </w:r>
    <w:r>
      <w:rPr>
        <w:sz w:val="16"/>
        <w:szCs w:val="16"/>
      </w:rPr>
      <w:t>/</w:t>
    </w:r>
    <w:r w:rsidR="00555AC0">
      <w:rPr>
        <w:sz w:val="16"/>
        <w:szCs w:val="16"/>
      </w:rPr>
      <w:t>1</w:t>
    </w:r>
    <w:r>
      <w:rPr>
        <w:sz w:val="16"/>
        <w:szCs w:val="16"/>
      </w:rPr>
      <w:t>/202</w:t>
    </w:r>
    <w:r w:rsidR="003F5168">
      <w:rPr>
        <w:sz w:val="16"/>
        <w:szCs w:val="16"/>
      </w:rPr>
      <w:t>4</w:t>
    </w:r>
    <w:r w:rsidRPr="00F3496A">
      <w:rPr>
        <w:sz w:val="16"/>
        <w:szCs w:val="16"/>
      </w:rPr>
      <w:t xml:space="preserve"> Version</w:t>
    </w:r>
  </w:p>
  <w:p w14:paraId="4452070B" w14:textId="77777777" w:rsidR="001A5899" w:rsidRPr="00834A93" w:rsidRDefault="001A5899" w:rsidP="00834A93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50AD" w14:textId="617F3ABE" w:rsidR="001A5899" w:rsidRPr="00F3496A" w:rsidRDefault="001A5899" w:rsidP="00BC17CF">
    <w:pPr>
      <w:pStyle w:val="Footer"/>
      <w:rPr>
        <w:sz w:val="16"/>
        <w:szCs w:val="16"/>
      </w:rPr>
    </w:pPr>
    <w:r w:rsidRPr="00F3496A">
      <w:rPr>
        <w:sz w:val="16"/>
        <w:szCs w:val="16"/>
      </w:rPr>
      <w:t xml:space="preserve">100 S. Wacker Drive, 20th </w:t>
    </w:r>
    <w:proofErr w:type="gramStart"/>
    <w:r w:rsidRPr="00F3496A">
      <w:rPr>
        <w:sz w:val="16"/>
        <w:szCs w:val="16"/>
      </w:rPr>
      <w:t>Floor  Chicago</w:t>
    </w:r>
    <w:proofErr w:type="gramEnd"/>
    <w:r w:rsidRPr="00F3496A">
      <w:rPr>
        <w:sz w:val="16"/>
        <w:szCs w:val="16"/>
      </w:rPr>
      <w:t xml:space="preserve"> IL 60606 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ab/>
      <w:t xml:space="preserve">                                                                </w:t>
    </w:r>
    <w:r>
      <w:rPr>
        <w:sz w:val="16"/>
        <w:szCs w:val="16"/>
      </w:rPr>
      <w:t xml:space="preserve">                                            </w:t>
    </w:r>
    <w:r w:rsidRPr="00F3496A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F3496A"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7207F">
      <w:rPr>
        <w:sz w:val="16"/>
        <w:szCs w:val="16"/>
      </w:rPr>
      <w:t xml:space="preserve">Eze </w:t>
    </w:r>
    <w:r>
      <w:rPr>
        <w:sz w:val="16"/>
        <w:szCs w:val="16"/>
      </w:rPr>
      <w:t>Market</w:t>
    </w:r>
    <w:r w:rsidRPr="0007207F">
      <w:rPr>
        <w:sz w:val="16"/>
        <w:szCs w:val="16"/>
      </w:rPr>
      <w:t xml:space="preserve"> Data Form (</w:t>
    </w:r>
    <w:proofErr w:type="spellStart"/>
    <w:r w:rsidRPr="0007207F">
      <w:rPr>
        <w:sz w:val="16"/>
        <w:szCs w:val="16"/>
      </w:rPr>
      <w:t>RealTick</w:t>
    </w:r>
    <w:proofErr w:type="spellEnd"/>
    <w:r w:rsidRPr="0007207F">
      <w:rPr>
        <w:sz w:val="16"/>
        <w:szCs w:val="16"/>
      </w:rPr>
      <w:t xml:space="preserve"> Data Form)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 xml:space="preserve">T 800-997-9630 e-Fax: 312-264-0093 ems.ti@ezesoft.com </w:t>
    </w:r>
    <w:r w:rsidRPr="00F3496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Page </w:t>
    </w:r>
    <w:r w:rsidRPr="00F3496A">
      <w:rPr>
        <w:sz w:val="16"/>
        <w:szCs w:val="16"/>
      </w:rPr>
      <w:fldChar w:fldCharType="begin"/>
    </w:r>
    <w:r w:rsidRPr="00F3496A">
      <w:rPr>
        <w:sz w:val="16"/>
        <w:szCs w:val="16"/>
      </w:rPr>
      <w:instrText xml:space="preserve"> PAGE   \* MERGEFORMAT </w:instrText>
    </w:r>
    <w:r w:rsidRPr="00F3496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3496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>
      <w:rPr>
        <w:sz w:val="16"/>
        <w:szCs w:val="16"/>
      </w:rPr>
      <w:t>of 4</w:t>
    </w:r>
    <w:r w:rsidRPr="00F3496A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4/11/2019</w:t>
    </w:r>
    <w:r w:rsidRPr="00F3496A">
      <w:rPr>
        <w:sz w:val="16"/>
        <w:szCs w:val="16"/>
      </w:rPr>
      <w:t xml:space="preserve"> Version</w:t>
    </w:r>
  </w:p>
  <w:p w14:paraId="1276959C" w14:textId="77777777" w:rsidR="001A5899" w:rsidRPr="00F3496A" w:rsidRDefault="001A5899" w:rsidP="000B6D4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1D6A" w14:textId="77777777" w:rsidR="001A5899" w:rsidRPr="00834A93" w:rsidRDefault="001A5899" w:rsidP="00D57301">
    <w:pPr>
      <w:pStyle w:val="Footer"/>
      <w:rPr>
        <w:sz w:val="20"/>
        <w:szCs w:val="20"/>
      </w:rPr>
    </w:pPr>
  </w:p>
  <w:p w14:paraId="7A200AE5" w14:textId="2348C8F2" w:rsidR="001A5899" w:rsidRPr="00F3496A" w:rsidRDefault="001A5899" w:rsidP="00BC17CF">
    <w:pPr>
      <w:pStyle w:val="Footer"/>
      <w:rPr>
        <w:sz w:val="16"/>
        <w:szCs w:val="16"/>
      </w:rPr>
    </w:pPr>
    <w:r w:rsidRPr="00F3496A">
      <w:rPr>
        <w:sz w:val="16"/>
        <w:szCs w:val="16"/>
      </w:rPr>
      <w:t xml:space="preserve">100 S. Wacker Drive, </w:t>
    </w:r>
    <w:r>
      <w:rPr>
        <w:sz w:val="16"/>
        <w:szCs w:val="16"/>
      </w:rPr>
      <w:t>19</w:t>
    </w:r>
    <w:r w:rsidRPr="00F3496A">
      <w:rPr>
        <w:sz w:val="16"/>
        <w:szCs w:val="16"/>
      </w:rPr>
      <w:t xml:space="preserve">th Floor Chicago IL 60606 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ab/>
      <w:t xml:space="preserve">                                                                </w:t>
    </w:r>
    <w:r>
      <w:rPr>
        <w:sz w:val="16"/>
        <w:szCs w:val="16"/>
      </w:rPr>
      <w:t xml:space="preserve">                                            </w:t>
    </w:r>
    <w:r w:rsidRPr="00F3496A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F3496A"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7207F">
      <w:rPr>
        <w:sz w:val="16"/>
        <w:szCs w:val="16"/>
      </w:rPr>
      <w:t xml:space="preserve">Eze </w:t>
    </w:r>
    <w:r>
      <w:rPr>
        <w:sz w:val="16"/>
        <w:szCs w:val="16"/>
      </w:rPr>
      <w:t>Market</w:t>
    </w:r>
    <w:r w:rsidRPr="0007207F">
      <w:rPr>
        <w:sz w:val="16"/>
        <w:szCs w:val="16"/>
      </w:rPr>
      <w:t xml:space="preserve"> Data Form (</w:t>
    </w:r>
    <w:proofErr w:type="spellStart"/>
    <w:r w:rsidRPr="0007207F">
      <w:rPr>
        <w:sz w:val="16"/>
        <w:szCs w:val="16"/>
      </w:rPr>
      <w:t>RealTick</w:t>
    </w:r>
    <w:proofErr w:type="spellEnd"/>
    <w:r w:rsidRPr="0007207F">
      <w:rPr>
        <w:sz w:val="16"/>
        <w:szCs w:val="16"/>
      </w:rPr>
      <w:t xml:space="preserve"> Data </w:t>
    </w:r>
    <w:proofErr w:type="gramStart"/>
    <w:r w:rsidRPr="0007207F">
      <w:rPr>
        <w:sz w:val="16"/>
        <w:szCs w:val="16"/>
      </w:rPr>
      <w:t>Form)</w:t>
    </w:r>
    <w:r>
      <w:rPr>
        <w:sz w:val="16"/>
        <w:szCs w:val="16"/>
      </w:rPr>
      <w:t xml:space="preserve">   </w:t>
    </w:r>
    <w:proofErr w:type="gramEnd"/>
    <w:r w:rsidRPr="00F3496A">
      <w:rPr>
        <w:sz w:val="16"/>
        <w:szCs w:val="16"/>
      </w:rPr>
      <w:t>T 800-997-9630 e-Fax: 312-264-0093 ems.ti@</w:t>
    </w:r>
    <w:r>
      <w:rPr>
        <w:sz w:val="16"/>
        <w:szCs w:val="16"/>
      </w:rPr>
      <w:t>sscinc</w:t>
    </w:r>
    <w:r w:rsidRPr="00F3496A">
      <w:rPr>
        <w:sz w:val="16"/>
        <w:szCs w:val="16"/>
      </w:rPr>
      <w:t xml:space="preserve">.com </w:t>
    </w:r>
    <w:r w:rsidRPr="00F3496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Page </w:t>
    </w:r>
    <w:r w:rsidRPr="00F3496A">
      <w:rPr>
        <w:sz w:val="16"/>
        <w:szCs w:val="16"/>
      </w:rPr>
      <w:fldChar w:fldCharType="begin"/>
    </w:r>
    <w:r w:rsidRPr="00F3496A">
      <w:rPr>
        <w:sz w:val="16"/>
        <w:szCs w:val="16"/>
      </w:rPr>
      <w:instrText xml:space="preserve"> PAGE   \* MERGEFORMAT </w:instrText>
    </w:r>
    <w:r w:rsidRPr="00F3496A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F3496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>
      <w:rPr>
        <w:sz w:val="16"/>
        <w:szCs w:val="16"/>
      </w:rPr>
      <w:t>of 4</w:t>
    </w:r>
    <w:r w:rsidRPr="00F3496A"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  <w:r w:rsidR="00204A97">
      <w:rPr>
        <w:sz w:val="16"/>
        <w:szCs w:val="16"/>
      </w:rPr>
      <w:t xml:space="preserve">               </w:t>
    </w:r>
    <w:r w:rsidR="00555AC0">
      <w:rPr>
        <w:sz w:val="16"/>
        <w:szCs w:val="16"/>
      </w:rPr>
      <w:t>4</w:t>
    </w:r>
    <w:r>
      <w:rPr>
        <w:sz w:val="16"/>
        <w:szCs w:val="16"/>
      </w:rPr>
      <w:t>/</w:t>
    </w:r>
    <w:r w:rsidR="00555AC0">
      <w:rPr>
        <w:sz w:val="16"/>
        <w:szCs w:val="16"/>
      </w:rPr>
      <w:t>1</w:t>
    </w:r>
    <w:r>
      <w:rPr>
        <w:sz w:val="16"/>
        <w:szCs w:val="16"/>
      </w:rPr>
      <w:t>/202</w:t>
    </w:r>
    <w:r w:rsidR="003F5168">
      <w:rPr>
        <w:sz w:val="16"/>
        <w:szCs w:val="16"/>
      </w:rPr>
      <w:t>4</w:t>
    </w:r>
    <w:r w:rsidRPr="00F3496A">
      <w:rPr>
        <w:sz w:val="16"/>
        <w:szCs w:val="16"/>
      </w:rPr>
      <w:t xml:space="preserve"> Version</w:t>
    </w:r>
    <w:r w:rsidR="006813D5">
      <w:rPr>
        <w:sz w:val="16"/>
        <w:szCs w:val="16"/>
      </w:rPr>
      <w:t xml:space="preserve"> </w:t>
    </w:r>
  </w:p>
  <w:p w14:paraId="7FA43994" w14:textId="77777777" w:rsidR="001A5899" w:rsidRDefault="001A589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94F1" w14:textId="77777777" w:rsidR="001A5899" w:rsidRPr="00C20D3B" w:rsidRDefault="001A5899" w:rsidP="00503620">
    <w:pPr>
      <w:tabs>
        <w:tab w:val="center" w:pos="540"/>
        <w:tab w:val="right" w:pos="10800"/>
      </w:tabs>
      <w:spacing w:after="0" w:line="240" w:lineRule="auto"/>
      <w:rPr>
        <w:sz w:val="18"/>
        <w:szCs w:val="18"/>
      </w:rPr>
    </w:pPr>
  </w:p>
  <w:p w14:paraId="6DE1A50F" w14:textId="77777777" w:rsidR="001A5899" w:rsidRPr="00C20D3B" w:rsidRDefault="001A5899">
    <w:pPr>
      <w:pStyle w:val="Footer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9C38" w14:textId="77777777" w:rsidR="001A5899" w:rsidRPr="00503620" w:rsidRDefault="001A5899" w:rsidP="00503620">
    <w:pPr>
      <w:tabs>
        <w:tab w:val="center" w:pos="540"/>
        <w:tab w:val="right" w:pos="10800"/>
      </w:tabs>
      <w:spacing w:after="0" w:line="240" w:lineRule="auto"/>
      <w:rPr>
        <w:rFonts w:ascii="Calibri" w:eastAsia="Times New Roman" w:hAnsi="Calibri" w:cs="Arial"/>
        <w:sz w:val="16"/>
        <w:szCs w:val="16"/>
        <w:lang w:val="x-none" w:eastAsia="x-none"/>
      </w:rPr>
    </w:pPr>
    <w:r w:rsidRPr="00A10941">
      <w:rPr>
        <w:rFonts w:ascii="Calibri" w:eastAsia="Times New Roman" w:hAnsi="Calibri" w:cs="Arial"/>
        <w:sz w:val="16"/>
        <w:szCs w:val="16"/>
        <w:lang w:val="x-none" w:eastAsia="x-none"/>
      </w:rPr>
      <w:tab/>
      <w:t xml:space="preserve">        </w:t>
    </w:r>
    <w:r w:rsidRPr="00A10941">
      <w:rPr>
        <w:rFonts w:ascii="Calibri" w:eastAsia="Times New Roman" w:hAnsi="Calibri" w:cs="Arial"/>
        <w:sz w:val="16"/>
        <w:szCs w:val="16"/>
        <w:lang w:eastAsia="x-none"/>
      </w:rPr>
      <w:t xml:space="preserve">                                                            </w:t>
    </w:r>
    <w:r w:rsidRPr="00A10941">
      <w:rPr>
        <w:rFonts w:ascii="Calibri" w:eastAsia="Times New Roman" w:hAnsi="Calibri" w:cs="Arial"/>
        <w:b/>
        <w:sz w:val="16"/>
        <w:szCs w:val="16"/>
        <w:lang w:val="x-none" w:eastAsia="x-none"/>
      </w:rPr>
      <w:tab/>
    </w:r>
    <w:r w:rsidRPr="00A10941">
      <w:rPr>
        <w:rFonts w:ascii="Calibri" w:eastAsia="Times New Roman" w:hAnsi="Calibri" w:cs="Arial"/>
        <w:b/>
        <w:sz w:val="16"/>
        <w:szCs w:val="16"/>
        <w:lang w:val="x-none" w:eastAsia="x-none"/>
      </w:rPr>
      <w:tab/>
    </w:r>
  </w:p>
  <w:p w14:paraId="68C342E0" w14:textId="6998C2C6" w:rsidR="001A5899" w:rsidRDefault="001A5899" w:rsidP="00204A97">
    <w:pPr>
      <w:pStyle w:val="Footer"/>
    </w:pPr>
    <w:r w:rsidRPr="00F3496A">
      <w:rPr>
        <w:sz w:val="16"/>
        <w:szCs w:val="16"/>
      </w:rPr>
      <w:t xml:space="preserve">100 S. Wacker Drive, </w:t>
    </w:r>
    <w:r>
      <w:rPr>
        <w:sz w:val="16"/>
        <w:szCs w:val="16"/>
      </w:rPr>
      <w:t>19</w:t>
    </w:r>
    <w:r w:rsidRPr="00F3496A">
      <w:rPr>
        <w:sz w:val="16"/>
        <w:szCs w:val="16"/>
      </w:rPr>
      <w:t xml:space="preserve">th Floor Chicago IL 60606 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ab/>
      <w:t xml:space="preserve">                                                                </w:t>
    </w:r>
    <w:r>
      <w:rPr>
        <w:sz w:val="16"/>
        <w:szCs w:val="16"/>
      </w:rPr>
      <w:t xml:space="preserve">                                            </w:t>
    </w:r>
    <w:r w:rsidRPr="00F3496A">
      <w:rPr>
        <w:sz w:val="16"/>
        <w:szCs w:val="16"/>
      </w:rPr>
      <w:t xml:space="preserve">   </w:t>
    </w:r>
    <w:proofErr w:type="gramStart"/>
    <w:r>
      <w:rPr>
        <w:sz w:val="16"/>
        <w:szCs w:val="16"/>
      </w:rPr>
      <w:tab/>
      <w:t xml:space="preserve">  </w:t>
    </w:r>
    <w:r w:rsidRPr="0007207F">
      <w:rPr>
        <w:sz w:val="16"/>
        <w:szCs w:val="16"/>
      </w:rPr>
      <w:t>Eze</w:t>
    </w:r>
    <w:proofErr w:type="gramEnd"/>
    <w:r w:rsidRPr="0007207F">
      <w:rPr>
        <w:sz w:val="16"/>
        <w:szCs w:val="16"/>
      </w:rPr>
      <w:t xml:space="preserve"> </w:t>
    </w:r>
    <w:r>
      <w:rPr>
        <w:sz w:val="16"/>
        <w:szCs w:val="16"/>
      </w:rPr>
      <w:t>Market</w:t>
    </w:r>
    <w:r w:rsidRPr="0007207F">
      <w:rPr>
        <w:sz w:val="16"/>
        <w:szCs w:val="16"/>
      </w:rPr>
      <w:t xml:space="preserve"> Data Form (</w:t>
    </w:r>
    <w:proofErr w:type="spellStart"/>
    <w:r w:rsidRPr="0007207F">
      <w:rPr>
        <w:sz w:val="16"/>
        <w:szCs w:val="16"/>
      </w:rPr>
      <w:t>RealTick</w:t>
    </w:r>
    <w:proofErr w:type="spellEnd"/>
    <w:r w:rsidRPr="0007207F">
      <w:rPr>
        <w:sz w:val="16"/>
        <w:szCs w:val="16"/>
      </w:rPr>
      <w:t xml:space="preserve"> Data Form)</w:t>
    </w:r>
    <w:r>
      <w:rPr>
        <w:sz w:val="16"/>
        <w:szCs w:val="16"/>
      </w:rPr>
      <w:t xml:space="preserve">    </w:t>
    </w:r>
    <w:r w:rsidRPr="00F3496A">
      <w:rPr>
        <w:sz w:val="16"/>
        <w:szCs w:val="16"/>
      </w:rPr>
      <w:t>T 800-997-9630 e-Fax: 312-264-0093 ems.ti@</w:t>
    </w:r>
    <w:r>
      <w:rPr>
        <w:sz w:val="16"/>
        <w:szCs w:val="16"/>
      </w:rPr>
      <w:t>sscinc</w:t>
    </w:r>
    <w:r w:rsidRPr="00F3496A">
      <w:rPr>
        <w:sz w:val="16"/>
        <w:szCs w:val="16"/>
      </w:rPr>
      <w:t xml:space="preserve">.com </w:t>
    </w:r>
    <w:r w:rsidRPr="00F3496A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Page </w:t>
    </w:r>
    <w:r w:rsidRPr="00F3496A">
      <w:rPr>
        <w:sz w:val="16"/>
        <w:szCs w:val="16"/>
      </w:rPr>
      <w:fldChar w:fldCharType="begin"/>
    </w:r>
    <w:r w:rsidRPr="00F3496A">
      <w:rPr>
        <w:sz w:val="16"/>
        <w:szCs w:val="16"/>
      </w:rPr>
      <w:instrText xml:space="preserve"> PAGE   \* MERGEFORMAT </w:instrText>
    </w:r>
    <w:r w:rsidRPr="00F3496A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F3496A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>
      <w:rPr>
        <w:sz w:val="16"/>
        <w:szCs w:val="16"/>
      </w:rPr>
      <w:t>of 4</w:t>
    </w:r>
    <w:r w:rsidRPr="00F3496A">
      <w:rPr>
        <w:sz w:val="16"/>
        <w:szCs w:val="16"/>
      </w:rPr>
      <w:tab/>
    </w:r>
    <w:r>
      <w:rPr>
        <w:sz w:val="16"/>
        <w:szCs w:val="16"/>
      </w:rPr>
      <w:tab/>
    </w:r>
    <w:r w:rsidR="00492A68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204A97">
      <w:rPr>
        <w:sz w:val="16"/>
        <w:szCs w:val="16"/>
      </w:rPr>
      <w:t xml:space="preserve">                 </w:t>
    </w:r>
    <w:r w:rsidR="00555AC0">
      <w:rPr>
        <w:sz w:val="16"/>
        <w:szCs w:val="16"/>
      </w:rPr>
      <w:t>4</w:t>
    </w:r>
    <w:r>
      <w:rPr>
        <w:sz w:val="16"/>
        <w:szCs w:val="16"/>
      </w:rPr>
      <w:t>/</w:t>
    </w:r>
    <w:r w:rsidR="00555AC0">
      <w:rPr>
        <w:sz w:val="16"/>
        <w:szCs w:val="16"/>
      </w:rPr>
      <w:t>1</w:t>
    </w:r>
    <w:r>
      <w:rPr>
        <w:sz w:val="16"/>
        <w:szCs w:val="16"/>
      </w:rPr>
      <w:t>/202</w:t>
    </w:r>
    <w:r w:rsidR="003F5168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Pr="00F3496A">
      <w:rPr>
        <w:sz w:val="16"/>
        <w:szCs w:val="16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5AA4" w14:textId="77777777" w:rsidR="001A5899" w:rsidRDefault="001A5899" w:rsidP="009C6A91">
      <w:pPr>
        <w:spacing w:after="0" w:line="240" w:lineRule="auto"/>
      </w:pPr>
      <w:r>
        <w:separator/>
      </w:r>
    </w:p>
    <w:p w14:paraId="4B1B2BEE" w14:textId="77777777" w:rsidR="001A5899" w:rsidRDefault="001A5899"/>
  </w:footnote>
  <w:footnote w:type="continuationSeparator" w:id="0">
    <w:p w14:paraId="4C1C0A5E" w14:textId="77777777" w:rsidR="001A5899" w:rsidRDefault="001A5899" w:rsidP="009C6A91">
      <w:pPr>
        <w:spacing w:after="0" w:line="240" w:lineRule="auto"/>
      </w:pPr>
      <w:r>
        <w:continuationSeparator/>
      </w:r>
    </w:p>
    <w:p w14:paraId="6AC6967B" w14:textId="77777777" w:rsidR="001A5899" w:rsidRDefault="001A5899"/>
  </w:footnote>
  <w:footnote w:type="continuationNotice" w:id="1">
    <w:p w14:paraId="4C31175B" w14:textId="77777777" w:rsidR="001A5899" w:rsidRDefault="001A5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1D32" w14:textId="77777777" w:rsidR="00464865" w:rsidRDefault="0046486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2565" w14:textId="77777777" w:rsidR="001A5899" w:rsidRPr="00A10941" w:rsidRDefault="001A5899" w:rsidP="00A10941">
    <w:pPr>
      <w:pStyle w:val="Header"/>
      <w:ind w:firstLine="4320"/>
      <w:rPr>
        <w:sz w:val="28"/>
        <w:szCs w:val="28"/>
      </w:rPr>
    </w:pPr>
    <w:r w:rsidRPr="00A10941">
      <w:rPr>
        <w:b/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257B45D2" wp14:editId="05324D07">
          <wp:simplePos x="0" y="0"/>
          <wp:positionH relativeFrom="column">
            <wp:posOffset>5440680</wp:posOffset>
          </wp:positionH>
          <wp:positionV relativeFrom="paragraph">
            <wp:posOffset>-53340</wp:posOffset>
          </wp:positionV>
          <wp:extent cx="1678940" cy="307024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E_logo_RealTick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06" cy="30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941">
      <w:rPr>
        <w:b/>
        <w:sz w:val="28"/>
        <w:szCs w:val="28"/>
      </w:rPr>
      <w:t>REALTICK DATA® FORM</w:t>
    </w:r>
  </w:p>
  <w:p w14:paraId="0C8D6DD5" w14:textId="77777777" w:rsidR="001A5899" w:rsidRPr="00474F4D" w:rsidRDefault="001A5899" w:rsidP="00474F4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5915" w14:textId="77777777" w:rsidR="001A5899" w:rsidRDefault="001A5899">
    <w:pPr>
      <w:pStyle w:val="Header"/>
    </w:pPr>
  </w:p>
  <w:p w14:paraId="5102329A" w14:textId="63F9348A" w:rsidR="001A5899" w:rsidRDefault="001A5899" w:rsidP="00D57301">
    <w:pPr>
      <w:pStyle w:val="Header"/>
      <w:tabs>
        <w:tab w:val="clear" w:pos="4680"/>
        <w:tab w:val="clear" w:pos="9360"/>
        <w:tab w:val="left" w:pos="7000"/>
      </w:tabs>
      <w:jc w:val="right"/>
    </w:pPr>
    <w:r>
      <w:tab/>
    </w:r>
    <w:r>
      <w:rPr>
        <w:noProof/>
      </w:rPr>
      <w:drawing>
        <wp:inline distT="0" distB="0" distL="0" distR="0" wp14:anchorId="5E1DA2C9" wp14:editId="31FACF43">
          <wp:extent cx="947352" cy="325755"/>
          <wp:effectExtent l="0" t="0" r="5715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65" cy="36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8D80" w14:textId="4CA46B81" w:rsidR="001A5899" w:rsidRDefault="001A5899" w:rsidP="00C64DAF">
    <w:pPr>
      <w:pStyle w:val="Header"/>
      <w:spacing w:before="60"/>
      <w:jc w:val="right"/>
      <w:rPr>
        <w:rFonts w:cstheme="minorHAnsi"/>
        <w:b/>
        <w:sz w:val="36"/>
        <w:szCs w:val="36"/>
      </w:rPr>
    </w:pPr>
    <w:r>
      <w:rPr>
        <w:noProof/>
      </w:rPr>
      <w:drawing>
        <wp:inline distT="0" distB="0" distL="0" distR="0" wp14:anchorId="366F6130" wp14:editId="69F04F2B">
          <wp:extent cx="947352" cy="325755"/>
          <wp:effectExtent l="0" t="0" r="571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65" cy="36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19CB7" w14:textId="6AEBB3BB" w:rsidR="001A5899" w:rsidRDefault="001A5899" w:rsidP="002E58E5">
    <w:pPr>
      <w:pStyle w:val="Header"/>
      <w:rPr>
        <w:rFonts w:cstheme="minorHAnsi"/>
        <w:b/>
        <w:sz w:val="36"/>
        <w:szCs w:val="36"/>
      </w:rPr>
    </w:pPr>
    <w:r>
      <w:rPr>
        <w:b/>
      </w:rPr>
      <w:tab/>
      <w:t xml:space="preserve">                                               EZE MARKET DATA™ FORM</w:t>
    </w:r>
  </w:p>
  <w:p w14:paraId="6C3D1046" w14:textId="0B87798A" w:rsidR="001A5899" w:rsidRDefault="001A5899" w:rsidP="002E58E5">
    <w:pPr>
      <w:pStyle w:val="Header"/>
      <w:jc w:val="center"/>
      <w:rPr>
        <w:rFonts w:cstheme="minorHAnsi"/>
        <w:b/>
        <w:sz w:val="18"/>
        <w:szCs w:val="18"/>
      </w:rPr>
    </w:pPr>
    <w:r w:rsidRPr="00E9655F">
      <w:rPr>
        <w:b/>
        <w:sz w:val="18"/>
        <w:szCs w:val="18"/>
      </w:rPr>
      <w:t xml:space="preserve"> (REALTICK DATA</w:t>
    </w:r>
    <w:r w:rsidRPr="00E9655F">
      <w:rPr>
        <w:rFonts w:cstheme="minorHAnsi"/>
        <w:b/>
        <w:sz w:val="18"/>
        <w:szCs w:val="18"/>
      </w:rPr>
      <w:t>® FORM)</w:t>
    </w:r>
  </w:p>
  <w:p w14:paraId="73401788" w14:textId="77777777" w:rsidR="001A5899" w:rsidRDefault="001A5899" w:rsidP="002E58E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0D2D" w14:textId="77777777" w:rsidR="001A5899" w:rsidRDefault="001A5899" w:rsidP="00DD7F25">
    <w:pPr>
      <w:tabs>
        <w:tab w:val="center" w:pos="4680"/>
        <w:tab w:val="right" w:pos="9360"/>
      </w:tabs>
      <w:spacing w:after="0" w:line="240" w:lineRule="auto"/>
      <w:ind w:right="-576"/>
      <w:jc w:val="center"/>
      <w:rPr>
        <w:rFonts w:cstheme="minorHAnsi"/>
        <w:b/>
        <w:sz w:val="36"/>
        <w:szCs w:val="36"/>
      </w:rPr>
    </w:pPr>
    <w:r>
      <w:rPr>
        <w:b/>
        <w:sz w:val="28"/>
        <w:szCs w:val="28"/>
      </w:rPr>
      <w:t xml:space="preserve">                                              </w:t>
    </w:r>
    <w:r w:rsidRPr="00474F4D">
      <w:rPr>
        <w:b/>
        <w:sz w:val="28"/>
        <w:szCs w:val="28"/>
      </w:rPr>
      <w:t>REALTICK DATA</w:t>
    </w:r>
    <w:r w:rsidRPr="00474F4D">
      <w:rPr>
        <w:rFonts w:cstheme="minorHAnsi"/>
        <w:b/>
        <w:sz w:val="28"/>
        <w:szCs w:val="28"/>
      </w:rPr>
      <w:t>® FORM</w:t>
    </w:r>
    <w:r>
      <w:rPr>
        <w:rFonts w:cstheme="minorHAnsi"/>
        <w:b/>
        <w:sz w:val="28"/>
        <w:szCs w:val="28"/>
      </w:rPr>
      <w:tab/>
      <w:t xml:space="preserve">       </w:t>
    </w:r>
    <w:r>
      <w:rPr>
        <w:rFonts w:cstheme="minorHAnsi"/>
        <w:b/>
        <w:noProof/>
        <w:sz w:val="36"/>
        <w:szCs w:val="36"/>
      </w:rPr>
      <w:drawing>
        <wp:inline distT="0" distB="0" distL="0" distR="0" wp14:anchorId="1F8E2664" wp14:editId="2B638227">
          <wp:extent cx="1668744" cy="298362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eSoft_Logo_NoProds 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30" cy="31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8"/>
        <w:szCs w:val="28"/>
      </w:rPr>
      <w:tab/>
    </w:r>
  </w:p>
  <w:p w14:paraId="2ED33B75" w14:textId="77777777" w:rsidR="001A5899" w:rsidRPr="00F3496A" w:rsidRDefault="001A5899">
    <w:pPr>
      <w:pStyle w:val="Header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ADAA" w14:textId="4C0E04CD" w:rsidR="001A5899" w:rsidRDefault="001A5899" w:rsidP="00D57301">
    <w:pPr>
      <w:pStyle w:val="Header"/>
      <w:jc w:val="right"/>
    </w:pPr>
  </w:p>
  <w:p w14:paraId="4893F779" w14:textId="2B8FA5DF" w:rsidR="001A5899" w:rsidRDefault="001A5899" w:rsidP="005967C9">
    <w:pPr>
      <w:pStyle w:val="Header"/>
      <w:tabs>
        <w:tab w:val="clear" w:pos="4680"/>
        <w:tab w:val="clear" w:pos="9360"/>
        <w:tab w:val="left" w:pos="1605"/>
      </w:tabs>
      <w:jc w:val="right"/>
    </w:pPr>
    <w:r>
      <w:tab/>
    </w:r>
    <w:r w:rsidRPr="005967C9">
      <w:rPr>
        <w:rFonts w:ascii="Calibri" w:eastAsia="Calibri" w:hAnsi="Calibri" w:cs="Times New Roman"/>
        <w:noProof/>
      </w:rPr>
      <w:drawing>
        <wp:inline distT="0" distB="0" distL="0" distR="0" wp14:anchorId="40DB2837" wp14:editId="32A29568">
          <wp:extent cx="947352" cy="325755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65" cy="36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79FD" w14:textId="3F73B4EA" w:rsidR="001A5899" w:rsidRDefault="001A5899" w:rsidP="00E848E9">
    <w:pPr>
      <w:pStyle w:val="Header"/>
      <w:tabs>
        <w:tab w:val="clear" w:pos="4680"/>
        <w:tab w:val="clear" w:pos="9360"/>
        <w:tab w:val="left" w:pos="10284"/>
      </w:tabs>
      <w:jc w:val="right"/>
    </w:pPr>
    <w:r>
      <w:tab/>
    </w:r>
    <w:r>
      <w:rPr>
        <w:noProof/>
      </w:rPr>
      <w:drawing>
        <wp:inline distT="0" distB="0" distL="0" distR="0" wp14:anchorId="54F04960" wp14:editId="213BD5F2">
          <wp:extent cx="947352" cy="325755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65" cy="36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87E88" w14:textId="7E0B0885" w:rsidR="001A5899" w:rsidRDefault="001A5899" w:rsidP="00D57301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C3FF" w14:textId="2E614017" w:rsidR="001A5899" w:rsidRDefault="001A5899" w:rsidP="00D57301">
    <w:pPr>
      <w:tabs>
        <w:tab w:val="center" w:pos="4680"/>
        <w:tab w:val="left" w:pos="7413"/>
        <w:tab w:val="left" w:pos="7901"/>
      </w:tabs>
      <w:spacing w:after="0" w:line="240" w:lineRule="auto"/>
      <w:ind w:right="-576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</w:r>
    <w:r>
      <w:rPr>
        <w:rFonts w:cstheme="minorHAnsi"/>
        <w:b/>
        <w:sz w:val="36"/>
        <w:szCs w:val="36"/>
      </w:rPr>
      <w:tab/>
      <w:t xml:space="preserve">  </w:t>
    </w:r>
    <w:r>
      <w:rPr>
        <w:noProof/>
      </w:rPr>
      <w:drawing>
        <wp:inline distT="0" distB="0" distL="0" distR="0" wp14:anchorId="542718DF" wp14:editId="7AF20145">
          <wp:extent cx="947352" cy="325755"/>
          <wp:effectExtent l="0" t="0" r="5715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65" cy="36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0CE5F" w14:textId="77777777" w:rsidR="001A5899" w:rsidRPr="00F3496A" w:rsidRDefault="001A5899">
    <w:pPr>
      <w:pStyle w:val="Header"/>
      <w:rPr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CC5F" w14:textId="14564EF4" w:rsidR="001A5899" w:rsidRDefault="001A5899" w:rsidP="00D57301">
    <w:pPr>
      <w:pStyle w:val="Header"/>
      <w:tabs>
        <w:tab w:val="clear" w:pos="4680"/>
        <w:tab w:val="clear" w:pos="9360"/>
        <w:tab w:val="left" w:pos="8903"/>
      </w:tabs>
    </w:pPr>
    <w:r>
      <w:tab/>
    </w:r>
    <w:r>
      <w:tab/>
    </w:r>
    <w:r>
      <w:tab/>
    </w:r>
    <w:r>
      <w:tab/>
      <w:t xml:space="preserve">          </w:t>
    </w:r>
    <w:r>
      <w:rPr>
        <w:noProof/>
      </w:rPr>
      <w:drawing>
        <wp:inline distT="0" distB="0" distL="0" distR="0" wp14:anchorId="761AE20E" wp14:editId="005F3BAF">
          <wp:extent cx="947352" cy="325755"/>
          <wp:effectExtent l="0" t="0" r="5715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65" cy="36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5CFD01" w14:textId="77777777" w:rsidR="001A5899" w:rsidRDefault="001A589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0563" w14:textId="77777777" w:rsidR="001A5899" w:rsidRPr="00A10941" w:rsidRDefault="001A5899" w:rsidP="00CC6A4E">
    <w:pPr>
      <w:pStyle w:val="Header"/>
      <w:jc w:val="center"/>
      <w:rPr>
        <w:sz w:val="28"/>
        <w:szCs w:val="28"/>
      </w:rPr>
    </w:pPr>
    <w:r w:rsidRPr="00A10941">
      <w:rPr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55CB148" wp14:editId="5009DD4A">
          <wp:simplePos x="0" y="0"/>
          <wp:positionH relativeFrom="column">
            <wp:posOffset>5440680</wp:posOffset>
          </wp:positionH>
          <wp:positionV relativeFrom="paragraph">
            <wp:posOffset>-53340</wp:posOffset>
          </wp:positionV>
          <wp:extent cx="1678940" cy="307024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E_logo_RealTick2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206" cy="30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941">
      <w:rPr>
        <w:b/>
        <w:sz w:val="28"/>
        <w:szCs w:val="28"/>
      </w:rPr>
      <w:t>REALTICK DATA</w:t>
    </w:r>
    <w:r w:rsidRPr="00A10941">
      <w:rPr>
        <w:rFonts w:cstheme="minorHAnsi"/>
        <w:b/>
        <w:sz w:val="28"/>
        <w:szCs w:val="28"/>
      </w:rPr>
      <w:t>® FORM</w:t>
    </w:r>
  </w:p>
  <w:p w14:paraId="304476FD" w14:textId="77777777" w:rsidR="001A5899" w:rsidRDefault="001A589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4D5C" w14:textId="77777777" w:rsidR="001A5899" w:rsidRDefault="001A5899">
    <w:pPr>
      <w:pStyle w:val="Header"/>
    </w:pPr>
  </w:p>
  <w:p w14:paraId="24BA8F4D" w14:textId="77777777" w:rsidR="001A5899" w:rsidRDefault="001A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026F"/>
    <w:multiLevelType w:val="hybridMultilevel"/>
    <w:tmpl w:val="0A36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8f82f2wVqbFL26tGFcoqQCvnUEN8waKCMOhadlSAYRawsY5GqRZ+XR+ljqO9GnJhThIbvS5T3q3wvcn26lvbA==" w:salt="COCBu/lko2oZkxWzhMkaog=="/>
  <w:defaultTabStop w:val="360"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91"/>
    <w:rsid w:val="00003186"/>
    <w:rsid w:val="00005109"/>
    <w:rsid w:val="000134D9"/>
    <w:rsid w:val="000138F5"/>
    <w:rsid w:val="00016364"/>
    <w:rsid w:val="00017321"/>
    <w:rsid w:val="000244E5"/>
    <w:rsid w:val="00031230"/>
    <w:rsid w:val="00034756"/>
    <w:rsid w:val="000351A1"/>
    <w:rsid w:val="000356FE"/>
    <w:rsid w:val="00041E53"/>
    <w:rsid w:val="00043BD8"/>
    <w:rsid w:val="000475C6"/>
    <w:rsid w:val="00051A22"/>
    <w:rsid w:val="00053865"/>
    <w:rsid w:val="00057B83"/>
    <w:rsid w:val="00064F94"/>
    <w:rsid w:val="00066045"/>
    <w:rsid w:val="0006717C"/>
    <w:rsid w:val="0007207F"/>
    <w:rsid w:val="0007296B"/>
    <w:rsid w:val="00073648"/>
    <w:rsid w:val="00075CB9"/>
    <w:rsid w:val="0007739F"/>
    <w:rsid w:val="0007754D"/>
    <w:rsid w:val="00077851"/>
    <w:rsid w:val="00080349"/>
    <w:rsid w:val="000841A3"/>
    <w:rsid w:val="00095941"/>
    <w:rsid w:val="000A0851"/>
    <w:rsid w:val="000A6057"/>
    <w:rsid w:val="000B0D71"/>
    <w:rsid w:val="000B53B2"/>
    <w:rsid w:val="000B6D4E"/>
    <w:rsid w:val="000C1233"/>
    <w:rsid w:val="000C4A6A"/>
    <w:rsid w:val="000C59A0"/>
    <w:rsid w:val="000C6442"/>
    <w:rsid w:val="000D613D"/>
    <w:rsid w:val="000D7584"/>
    <w:rsid w:val="000D75E8"/>
    <w:rsid w:val="000D7688"/>
    <w:rsid w:val="000E0EBD"/>
    <w:rsid w:val="000E1117"/>
    <w:rsid w:val="000E3F4F"/>
    <w:rsid w:val="000E43AA"/>
    <w:rsid w:val="000E48A6"/>
    <w:rsid w:val="000E49B9"/>
    <w:rsid w:val="000E56A0"/>
    <w:rsid w:val="000F7B3A"/>
    <w:rsid w:val="00103804"/>
    <w:rsid w:val="00103D18"/>
    <w:rsid w:val="0010516D"/>
    <w:rsid w:val="00105726"/>
    <w:rsid w:val="0010591C"/>
    <w:rsid w:val="00106618"/>
    <w:rsid w:val="0010718B"/>
    <w:rsid w:val="001078E3"/>
    <w:rsid w:val="00113520"/>
    <w:rsid w:val="00122196"/>
    <w:rsid w:val="00124027"/>
    <w:rsid w:val="001252A8"/>
    <w:rsid w:val="00126365"/>
    <w:rsid w:val="00126CF6"/>
    <w:rsid w:val="00127780"/>
    <w:rsid w:val="00131A57"/>
    <w:rsid w:val="00132CBB"/>
    <w:rsid w:val="00140542"/>
    <w:rsid w:val="00154B52"/>
    <w:rsid w:val="00155B19"/>
    <w:rsid w:val="00157465"/>
    <w:rsid w:val="0015762A"/>
    <w:rsid w:val="00162E02"/>
    <w:rsid w:val="0016563D"/>
    <w:rsid w:val="00165A13"/>
    <w:rsid w:val="00166A2B"/>
    <w:rsid w:val="00166CF0"/>
    <w:rsid w:val="00166EDA"/>
    <w:rsid w:val="00167A4C"/>
    <w:rsid w:val="00170140"/>
    <w:rsid w:val="00171D55"/>
    <w:rsid w:val="00172341"/>
    <w:rsid w:val="001751F3"/>
    <w:rsid w:val="00175CCB"/>
    <w:rsid w:val="0017662E"/>
    <w:rsid w:val="00176C8D"/>
    <w:rsid w:val="00183A8E"/>
    <w:rsid w:val="001846CF"/>
    <w:rsid w:val="00185A9D"/>
    <w:rsid w:val="001874AE"/>
    <w:rsid w:val="00190BB8"/>
    <w:rsid w:val="001A21C5"/>
    <w:rsid w:val="001A46CE"/>
    <w:rsid w:val="001A5899"/>
    <w:rsid w:val="001A6923"/>
    <w:rsid w:val="001A7C32"/>
    <w:rsid w:val="001B0B1B"/>
    <w:rsid w:val="001B2D28"/>
    <w:rsid w:val="001B6437"/>
    <w:rsid w:val="001B7D0A"/>
    <w:rsid w:val="001B7FB1"/>
    <w:rsid w:val="001C001F"/>
    <w:rsid w:val="001C2822"/>
    <w:rsid w:val="001C3697"/>
    <w:rsid w:val="001C5986"/>
    <w:rsid w:val="001C7702"/>
    <w:rsid w:val="001D1663"/>
    <w:rsid w:val="001E00C4"/>
    <w:rsid w:val="001E27A3"/>
    <w:rsid w:val="001F1337"/>
    <w:rsid w:val="001F71CE"/>
    <w:rsid w:val="00204A97"/>
    <w:rsid w:val="00210542"/>
    <w:rsid w:val="002142CC"/>
    <w:rsid w:val="00215D5A"/>
    <w:rsid w:val="00217265"/>
    <w:rsid w:val="00220413"/>
    <w:rsid w:val="00220754"/>
    <w:rsid w:val="00221A7A"/>
    <w:rsid w:val="002221A1"/>
    <w:rsid w:val="002225F7"/>
    <w:rsid w:val="002235B9"/>
    <w:rsid w:val="00231DCB"/>
    <w:rsid w:val="00231E9A"/>
    <w:rsid w:val="002331D1"/>
    <w:rsid w:val="00233EA9"/>
    <w:rsid w:val="00242CB5"/>
    <w:rsid w:val="00242F10"/>
    <w:rsid w:val="00257F1A"/>
    <w:rsid w:val="00262206"/>
    <w:rsid w:val="00264EA0"/>
    <w:rsid w:val="00266DEE"/>
    <w:rsid w:val="00270BB9"/>
    <w:rsid w:val="00271C9A"/>
    <w:rsid w:val="0027295F"/>
    <w:rsid w:val="00273AAE"/>
    <w:rsid w:val="00275AAD"/>
    <w:rsid w:val="0027656C"/>
    <w:rsid w:val="002804C2"/>
    <w:rsid w:val="0028167B"/>
    <w:rsid w:val="00290393"/>
    <w:rsid w:val="00290C94"/>
    <w:rsid w:val="0029624A"/>
    <w:rsid w:val="002A1947"/>
    <w:rsid w:val="002A6A00"/>
    <w:rsid w:val="002B03A4"/>
    <w:rsid w:val="002B0E6E"/>
    <w:rsid w:val="002B32E5"/>
    <w:rsid w:val="002C091E"/>
    <w:rsid w:val="002C1D17"/>
    <w:rsid w:val="002C575E"/>
    <w:rsid w:val="002C6479"/>
    <w:rsid w:val="002C6AB4"/>
    <w:rsid w:val="002D13B0"/>
    <w:rsid w:val="002D4B80"/>
    <w:rsid w:val="002D5051"/>
    <w:rsid w:val="002E3BC3"/>
    <w:rsid w:val="002E55BE"/>
    <w:rsid w:val="002E58E5"/>
    <w:rsid w:val="002F002C"/>
    <w:rsid w:val="002F0FB1"/>
    <w:rsid w:val="002F7204"/>
    <w:rsid w:val="00302DF0"/>
    <w:rsid w:val="00303D3E"/>
    <w:rsid w:val="00304F71"/>
    <w:rsid w:val="0030527C"/>
    <w:rsid w:val="003127A2"/>
    <w:rsid w:val="0031364F"/>
    <w:rsid w:val="00315C07"/>
    <w:rsid w:val="00316EE9"/>
    <w:rsid w:val="00320A68"/>
    <w:rsid w:val="0032392F"/>
    <w:rsid w:val="00330F21"/>
    <w:rsid w:val="00331FB5"/>
    <w:rsid w:val="00332489"/>
    <w:rsid w:val="00335DAD"/>
    <w:rsid w:val="00336DEA"/>
    <w:rsid w:val="003371A9"/>
    <w:rsid w:val="00340E08"/>
    <w:rsid w:val="0034331D"/>
    <w:rsid w:val="00345DAF"/>
    <w:rsid w:val="00345E8E"/>
    <w:rsid w:val="00353627"/>
    <w:rsid w:val="0036137F"/>
    <w:rsid w:val="0036214A"/>
    <w:rsid w:val="003638B6"/>
    <w:rsid w:val="003647F2"/>
    <w:rsid w:val="00366357"/>
    <w:rsid w:val="003740EA"/>
    <w:rsid w:val="00375379"/>
    <w:rsid w:val="003809DC"/>
    <w:rsid w:val="0038403A"/>
    <w:rsid w:val="00393A55"/>
    <w:rsid w:val="00395521"/>
    <w:rsid w:val="00396237"/>
    <w:rsid w:val="00396A29"/>
    <w:rsid w:val="00397DF1"/>
    <w:rsid w:val="00397E41"/>
    <w:rsid w:val="003B248F"/>
    <w:rsid w:val="003B27FB"/>
    <w:rsid w:val="003B369A"/>
    <w:rsid w:val="003B6037"/>
    <w:rsid w:val="003C3BF2"/>
    <w:rsid w:val="003C594B"/>
    <w:rsid w:val="003D2310"/>
    <w:rsid w:val="003D7104"/>
    <w:rsid w:val="003E00A6"/>
    <w:rsid w:val="003E3C38"/>
    <w:rsid w:val="003E5461"/>
    <w:rsid w:val="003F5168"/>
    <w:rsid w:val="003F5318"/>
    <w:rsid w:val="003F56DB"/>
    <w:rsid w:val="003F62C8"/>
    <w:rsid w:val="004032E4"/>
    <w:rsid w:val="004034EE"/>
    <w:rsid w:val="00403AB0"/>
    <w:rsid w:val="004045C7"/>
    <w:rsid w:val="0040700A"/>
    <w:rsid w:val="00412C23"/>
    <w:rsid w:val="004132CC"/>
    <w:rsid w:val="00413F00"/>
    <w:rsid w:val="00413F6A"/>
    <w:rsid w:val="0041692B"/>
    <w:rsid w:val="0041757F"/>
    <w:rsid w:val="004178EB"/>
    <w:rsid w:val="00417DD4"/>
    <w:rsid w:val="00422535"/>
    <w:rsid w:val="0042329C"/>
    <w:rsid w:val="00423703"/>
    <w:rsid w:val="004249AA"/>
    <w:rsid w:val="00427752"/>
    <w:rsid w:val="004317FE"/>
    <w:rsid w:val="00431EE9"/>
    <w:rsid w:val="00433CF7"/>
    <w:rsid w:val="004437D3"/>
    <w:rsid w:val="00443A72"/>
    <w:rsid w:val="00444661"/>
    <w:rsid w:val="004449E3"/>
    <w:rsid w:val="00444ED8"/>
    <w:rsid w:val="00446053"/>
    <w:rsid w:val="00453B27"/>
    <w:rsid w:val="004637C7"/>
    <w:rsid w:val="00464865"/>
    <w:rsid w:val="00465351"/>
    <w:rsid w:val="00466652"/>
    <w:rsid w:val="004667F7"/>
    <w:rsid w:val="004679D0"/>
    <w:rsid w:val="00467EF7"/>
    <w:rsid w:val="00470310"/>
    <w:rsid w:val="00471121"/>
    <w:rsid w:val="00474F4D"/>
    <w:rsid w:val="00476A46"/>
    <w:rsid w:val="004827EA"/>
    <w:rsid w:val="00482FF5"/>
    <w:rsid w:val="0048428D"/>
    <w:rsid w:val="0048467C"/>
    <w:rsid w:val="00492A68"/>
    <w:rsid w:val="004931E7"/>
    <w:rsid w:val="00494B95"/>
    <w:rsid w:val="00494FF1"/>
    <w:rsid w:val="004959BC"/>
    <w:rsid w:val="004A144B"/>
    <w:rsid w:val="004A2595"/>
    <w:rsid w:val="004B09E7"/>
    <w:rsid w:val="004B2CFC"/>
    <w:rsid w:val="004B628E"/>
    <w:rsid w:val="004B6D99"/>
    <w:rsid w:val="004C3EBD"/>
    <w:rsid w:val="004C585D"/>
    <w:rsid w:val="004C6A84"/>
    <w:rsid w:val="004C7363"/>
    <w:rsid w:val="004D33AB"/>
    <w:rsid w:val="004D3C7E"/>
    <w:rsid w:val="004D4741"/>
    <w:rsid w:val="004D4E97"/>
    <w:rsid w:val="004E0003"/>
    <w:rsid w:val="004E7501"/>
    <w:rsid w:val="004F0188"/>
    <w:rsid w:val="004F05FA"/>
    <w:rsid w:val="004F642E"/>
    <w:rsid w:val="004F6B26"/>
    <w:rsid w:val="00501DC6"/>
    <w:rsid w:val="00503620"/>
    <w:rsid w:val="00503DDD"/>
    <w:rsid w:val="005128C1"/>
    <w:rsid w:val="00513B49"/>
    <w:rsid w:val="00515E60"/>
    <w:rsid w:val="005166DE"/>
    <w:rsid w:val="0051703A"/>
    <w:rsid w:val="005175C0"/>
    <w:rsid w:val="00520FE7"/>
    <w:rsid w:val="00523010"/>
    <w:rsid w:val="00523B74"/>
    <w:rsid w:val="00523C58"/>
    <w:rsid w:val="005275B9"/>
    <w:rsid w:val="005347F5"/>
    <w:rsid w:val="00534924"/>
    <w:rsid w:val="00534CA9"/>
    <w:rsid w:val="00534CE2"/>
    <w:rsid w:val="00540051"/>
    <w:rsid w:val="00541B62"/>
    <w:rsid w:val="005425D6"/>
    <w:rsid w:val="0055393E"/>
    <w:rsid w:val="00554735"/>
    <w:rsid w:val="00555AC0"/>
    <w:rsid w:val="0055614F"/>
    <w:rsid w:val="00557B30"/>
    <w:rsid w:val="00561A26"/>
    <w:rsid w:val="00562810"/>
    <w:rsid w:val="00563F82"/>
    <w:rsid w:val="00566970"/>
    <w:rsid w:val="005720DF"/>
    <w:rsid w:val="00573C89"/>
    <w:rsid w:val="00575E5F"/>
    <w:rsid w:val="00580B03"/>
    <w:rsid w:val="005840DA"/>
    <w:rsid w:val="005847AC"/>
    <w:rsid w:val="00587750"/>
    <w:rsid w:val="00591A7B"/>
    <w:rsid w:val="00593475"/>
    <w:rsid w:val="00593F76"/>
    <w:rsid w:val="00595823"/>
    <w:rsid w:val="005967C9"/>
    <w:rsid w:val="005A2B13"/>
    <w:rsid w:val="005A2E03"/>
    <w:rsid w:val="005B0412"/>
    <w:rsid w:val="005B071D"/>
    <w:rsid w:val="005B14FA"/>
    <w:rsid w:val="005B1C57"/>
    <w:rsid w:val="005B2A1D"/>
    <w:rsid w:val="005B2C22"/>
    <w:rsid w:val="005B4371"/>
    <w:rsid w:val="005B4524"/>
    <w:rsid w:val="005B6841"/>
    <w:rsid w:val="005B6D48"/>
    <w:rsid w:val="005C1352"/>
    <w:rsid w:val="005C3B99"/>
    <w:rsid w:val="005C6E8E"/>
    <w:rsid w:val="005D102E"/>
    <w:rsid w:val="005D33A5"/>
    <w:rsid w:val="005D61C1"/>
    <w:rsid w:val="005F1569"/>
    <w:rsid w:val="005F6760"/>
    <w:rsid w:val="006036E2"/>
    <w:rsid w:val="006075A8"/>
    <w:rsid w:val="00611BC6"/>
    <w:rsid w:val="00613BA7"/>
    <w:rsid w:val="00614899"/>
    <w:rsid w:val="00614C2F"/>
    <w:rsid w:val="006200B1"/>
    <w:rsid w:val="00624744"/>
    <w:rsid w:val="00627C88"/>
    <w:rsid w:val="00627F23"/>
    <w:rsid w:val="00633131"/>
    <w:rsid w:val="00633983"/>
    <w:rsid w:val="0063414E"/>
    <w:rsid w:val="006363BD"/>
    <w:rsid w:val="00640F26"/>
    <w:rsid w:val="006414A5"/>
    <w:rsid w:val="00644248"/>
    <w:rsid w:val="006460AE"/>
    <w:rsid w:val="00653774"/>
    <w:rsid w:val="00653DC2"/>
    <w:rsid w:val="0065412E"/>
    <w:rsid w:val="00655C18"/>
    <w:rsid w:val="00657AA7"/>
    <w:rsid w:val="00663FDA"/>
    <w:rsid w:val="00664735"/>
    <w:rsid w:val="0066626D"/>
    <w:rsid w:val="00673092"/>
    <w:rsid w:val="006758EF"/>
    <w:rsid w:val="00675BEF"/>
    <w:rsid w:val="006811E1"/>
    <w:rsid w:val="006813D5"/>
    <w:rsid w:val="00683584"/>
    <w:rsid w:val="00683ED0"/>
    <w:rsid w:val="00687EB1"/>
    <w:rsid w:val="00687EFB"/>
    <w:rsid w:val="00691CA9"/>
    <w:rsid w:val="0069385E"/>
    <w:rsid w:val="00695111"/>
    <w:rsid w:val="006A01A6"/>
    <w:rsid w:val="006A1530"/>
    <w:rsid w:val="006A19A3"/>
    <w:rsid w:val="006A3404"/>
    <w:rsid w:val="006A5199"/>
    <w:rsid w:val="006A7FCB"/>
    <w:rsid w:val="006B169B"/>
    <w:rsid w:val="006B30EA"/>
    <w:rsid w:val="006B47D4"/>
    <w:rsid w:val="006B5001"/>
    <w:rsid w:val="006C314E"/>
    <w:rsid w:val="006C5870"/>
    <w:rsid w:val="006C5C0C"/>
    <w:rsid w:val="006C69BA"/>
    <w:rsid w:val="006C747D"/>
    <w:rsid w:val="006D1C8E"/>
    <w:rsid w:val="006D247C"/>
    <w:rsid w:val="006D2817"/>
    <w:rsid w:val="006D2DF0"/>
    <w:rsid w:val="006E1126"/>
    <w:rsid w:val="006E411D"/>
    <w:rsid w:val="006F125F"/>
    <w:rsid w:val="006F47DA"/>
    <w:rsid w:val="006F4908"/>
    <w:rsid w:val="006F72A7"/>
    <w:rsid w:val="006F7624"/>
    <w:rsid w:val="006F78F3"/>
    <w:rsid w:val="00700516"/>
    <w:rsid w:val="00702CA7"/>
    <w:rsid w:val="00706A6E"/>
    <w:rsid w:val="007114FD"/>
    <w:rsid w:val="0071161E"/>
    <w:rsid w:val="00715E6B"/>
    <w:rsid w:val="00716814"/>
    <w:rsid w:val="0072569D"/>
    <w:rsid w:val="007266E9"/>
    <w:rsid w:val="00730583"/>
    <w:rsid w:val="0073160C"/>
    <w:rsid w:val="00731778"/>
    <w:rsid w:val="00734C97"/>
    <w:rsid w:val="007360D7"/>
    <w:rsid w:val="00743881"/>
    <w:rsid w:val="0074695C"/>
    <w:rsid w:val="00747B61"/>
    <w:rsid w:val="00752197"/>
    <w:rsid w:val="00756DC3"/>
    <w:rsid w:val="0076276C"/>
    <w:rsid w:val="00764D02"/>
    <w:rsid w:val="0076610E"/>
    <w:rsid w:val="00766633"/>
    <w:rsid w:val="00766A8B"/>
    <w:rsid w:val="00773153"/>
    <w:rsid w:val="00781B8F"/>
    <w:rsid w:val="00786E4D"/>
    <w:rsid w:val="00791E10"/>
    <w:rsid w:val="00793606"/>
    <w:rsid w:val="00793FE4"/>
    <w:rsid w:val="007945F9"/>
    <w:rsid w:val="007948CB"/>
    <w:rsid w:val="00795109"/>
    <w:rsid w:val="00795739"/>
    <w:rsid w:val="007961E3"/>
    <w:rsid w:val="00796822"/>
    <w:rsid w:val="007A0E2E"/>
    <w:rsid w:val="007A163C"/>
    <w:rsid w:val="007A433B"/>
    <w:rsid w:val="007B217B"/>
    <w:rsid w:val="007B2AD4"/>
    <w:rsid w:val="007B6E70"/>
    <w:rsid w:val="007C1E9C"/>
    <w:rsid w:val="007C50AD"/>
    <w:rsid w:val="007C7764"/>
    <w:rsid w:val="007D2175"/>
    <w:rsid w:val="007E4457"/>
    <w:rsid w:val="007E79CE"/>
    <w:rsid w:val="007F4D9D"/>
    <w:rsid w:val="007F6F83"/>
    <w:rsid w:val="00802157"/>
    <w:rsid w:val="008023C6"/>
    <w:rsid w:val="0080446E"/>
    <w:rsid w:val="00804CDE"/>
    <w:rsid w:val="00806833"/>
    <w:rsid w:val="00815DD1"/>
    <w:rsid w:val="008163FF"/>
    <w:rsid w:val="0082073F"/>
    <w:rsid w:val="00822C3B"/>
    <w:rsid w:val="00823E1D"/>
    <w:rsid w:val="00825D36"/>
    <w:rsid w:val="00826D1E"/>
    <w:rsid w:val="008333D7"/>
    <w:rsid w:val="008334E9"/>
    <w:rsid w:val="00834A93"/>
    <w:rsid w:val="00836612"/>
    <w:rsid w:val="00836D37"/>
    <w:rsid w:val="008447C5"/>
    <w:rsid w:val="008453FB"/>
    <w:rsid w:val="00847B3C"/>
    <w:rsid w:val="00857A47"/>
    <w:rsid w:val="008653ED"/>
    <w:rsid w:val="0086649F"/>
    <w:rsid w:val="00880FFF"/>
    <w:rsid w:val="0088204C"/>
    <w:rsid w:val="00883F4F"/>
    <w:rsid w:val="008841B4"/>
    <w:rsid w:val="00885B42"/>
    <w:rsid w:val="00885B69"/>
    <w:rsid w:val="00890C94"/>
    <w:rsid w:val="00891DFE"/>
    <w:rsid w:val="00892EBF"/>
    <w:rsid w:val="008A0D74"/>
    <w:rsid w:val="008A3EA1"/>
    <w:rsid w:val="008A5A9E"/>
    <w:rsid w:val="008A790E"/>
    <w:rsid w:val="008B2CF0"/>
    <w:rsid w:val="008B5844"/>
    <w:rsid w:val="008B6A46"/>
    <w:rsid w:val="008C07CB"/>
    <w:rsid w:val="008C51A1"/>
    <w:rsid w:val="008C5878"/>
    <w:rsid w:val="008D11AF"/>
    <w:rsid w:val="008D335D"/>
    <w:rsid w:val="008E27DC"/>
    <w:rsid w:val="008F0E90"/>
    <w:rsid w:val="008F18F0"/>
    <w:rsid w:val="008F2A84"/>
    <w:rsid w:val="008F67E2"/>
    <w:rsid w:val="00900E0E"/>
    <w:rsid w:val="00902B43"/>
    <w:rsid w:val="0090566F"/>
    <w:rsid w:val="009112E2"/>
    <w:rsid w:val="009166FA"/>
    <w:rsid w:val="00917DCC"/>
    <w:rsid w:val="0092085C"/>
    <w:rsid w:val="00920A2D"/>
    <w:rsid w:val="00927983"/>
    <w:rsid w:val="00927993"/>
    <w:rsid w:val="00932316"/>
    <w:rsid w:val="00943B37"/>
    <w:rsid w:val="009460A9"/>
    <w:rsid w:val="009509CE"/>
    <w:rsid w:val="00962980"/>
    <w:rsid w:val="00963B5C"/>
    <w:rsid w:val="00964609"/>
    <w:rsid w:val="009701D0"/>
    <w:rsid w:val="00970B9D"/>
    <w:rsid w:val="0097223A"/>
    <w:rsid w:val="0097422A"/>
    <w:rsid w:val="00974609"/>
    <w:rsid w:val="00983AAB"/>
    <w:rsid w:val="00987F47"/>
    <w:rsid w:val="00991036"/>
    <w:rsid w:val="009914E3"/>
    <w:rsid w:val="0099308C"/>
    <w:rsid w:val="00997FF6"/>
    <w:rsid w:val="009A1B01"/>
    <w:rsid w:val="009A2E52"/>
    <w:rsid w:val="009A444F"/>
    <w:rsid w:val="009B0994"/>
    <w:rsid w:val="009B3804"/>
    <w:rsid w:val="009B7267"/>
    <w:rsid w:val="009C030F"/>
    <w:rsid w:val="009C0FC9"/>
    <w:rsid w:val="009C3C65"/>
    <w:rsid w:val="009C677B"/>
    <w:rsid w:val="009C6A91"/>
    <w:rsid w:val="009D347B"/>
    <w:rsid w:val="009E009C"/>
    <w:rsid w:val="009E32BB"/>
    <w:rsid w:val="009E5E8F"/>
    <w:rsid w:val="009F1569"/>
    <w:rsid w:val="009F35F2"/>
    <w:rsid w:val="009F4BED"/>
    <w:rsid w:val="009F6C94"/>
    <w:rsid w:val="00A01A4F"/>
    <w:rsid w:val="00A03406"/>
    <w:rsid w:val="00A03831"/>
    <w:rsid w:val="00A06306"/>
    <w:rsid w:val="00A10941"/>
    <w:rsid w:val="00A1097B"/>
    <w:rsid w:val="00A12361"/>
    <w:rsid w:val="00A140F8"/>
    <w:rsid w:val="00A16BFC"/>
    <w:rsid w:val="00A2040D"/>
    <w:rsid w:val="00A24064"/>
    <w:rsid w:val="00A24AA2"/>
    <w:rsid w:val="00A2652D"/>
    <w:rsid w:val="00A26D9C"/>
    <w:rsid w:val="00A27792"/>
    <w:rsid w:val="00A318B1"/>
    <w:rsid w:val="00A33CBB"/>
    <w:rsid w:val="00A35DA7"/>
    <w:rsid w:val="00A36CB4"/>
    <w:rsid w:val="00A41E4D"/>
    <w:rsid w:val="00A466F4"/>
    <w:rsid w:val="00A5035B"/>
    <w:rsid w:val="00A5262D"/>
    <w:rsid w:val="00A54DAD"/>
    <w:rsid w:val="00A55E09"/>
    <w:rsid w:val="00A56F71"/>
    <w:rsid w:val="00A64CD2"/>
    <w:rsid w:val="00A67070"/>
    <w:rsid w:val="00A67237"/>
    <w:rsid w:val="00A72E44"/>
    <w:rsid w:val="00A75BC4"/>
    <w:rsid w:val="00A75CB3"/>
    <w:rsid w:val="00A76A62"/>
    <w:rsid w:val="00A81775"/>
    <w:rsid w:val="00A81E1D"/>
    <w:rsid w:val="00A91788"/>
    <w:rsid w:val="00A941BB"/>
    <w:rsid w:val="00A95CA4"/>
    <w:rsid w:val="00AA212A"/>
    <w:rsid w:val="00AB246C"/>
    <w:rsid w:val="00AB5134"/>
    <w:rsid w:val="00AB5B77"/>
    <w:rsid w:val="00AB69F9"/>
    <w:rsid w:val="00AB71AB"/>
    <w:rsid w:val="00AC203D"/>
    <w:rsid w:val="00AC5CCC"/>
    <w:rsid w:val="00AD3518"/>
    <w:rsid w:val="00AE1CD6"/>
    <w:rsid w:val="00AE3850"/>
    <w:rsid w:val="00AE7C87"/>
    <w:rsid w:val="00AF08A6"/>
    <w:rsid w:val="00AF5306"/>
    <w:rsid w:val="00B04B69"/>
    <w:rsid w:val="00B066AF"/>
    <w:rsid w:val="00B078D5"/>
    <w:rsid w:val="00B15791"/>
    <w:rsid w:val="00B208F7"/>
    <w:rsid w:val="00B265B0"/>
    <w:rsid w:val="00B2726E"/>
    <w:rsid w:val="00B2744F"/>
    <w:rsid w:val="00B313C4"/>
    <w:rsid w:val="00B374ED"/>
    <w:rsid w:val="00B410D3"/>
    <w:rsid w:val="00B41A0A"/>
    <w:rsid w:val="00B427E2"/>
    <w:rsid w:val="00B43030"/>
    <w:rsid w:val="00B43795"/>
    <w:rsid w:val="00B4583E"/>
    <w:rsid w:val="00B53C05"/>
    <w:rsid w:val="00B5551B"/>
    <w:rsid w:val="00B57074"/>
    <w:rsid w:val="00B62D7E"/>
    <w:rsid w:val="00B6789D"/>
    <w:rsid w:val="00B67BC7"/>
    <w:rsid w:val="00B73C2C"/>
    <w:rsid w:val="00B75AA0"/>
    <w:rsid w:val="00B75AD0"/>
    <w:rsid w:val="00B77577"/>
    <w:rsid w:val="00B81A97"/>
    <w:rsid w:val="00B81FBA"/>
    <w:rsid w:val="00B84C7E"/>
    <w:rsid w:val="00B852BF"/>
    <w:rsid w:val="00B85319"/>
    <w:rsid w:val="00B91025"/>
    <w:rsid w:val="00B91B47"/>
    <w:rsid w:val="00B9559A"/>
    <w:rsid w:val="00B9682F"/>
    <w:rsid w:val="00B96F0D"/>
    <w:rsid w:val="00B97A9A"/>
    <w:rsid w:val="00BA1C7E"/>
    <w:rsid w:val="00BA50A0"/>
    <w:rsid w:val="00BA5BA1"/>
    <w:rsid w:val="00BA7A4B"/>
    <w:rsid w:val="00BB3E80"/>
    <w:rsid w:val="00BB5CC3"/>
    <w:rsid w:val="00BC085D"/>
    <w:rsid w:val="00BC13EF"/>
    <w:rsid w:val="00BC17CF"/>
    <w:rsid w:val="00BC361E"/>
    <w:rsid w:val="00BC5A8C"/>
    <w:rsid w:val="00BC739C"/>
    <w:rsid w:val="00BC79EB"/>
    <w:rsid w:val="00BD5CA6"/>
    <w:rsid w:val="00BF19C0"/>
    <w:rsid w:val="00BF3864"/>
    <w:rsid w:val="00BF395E"/>
    <w:rsid w:val="00BF3E13"/>
    <w:rsid w:val="00BF648E"/>
    <w:rsid w:val="00BF68D2"/>
    <w:rsid w:val="00BF7E1E"/>
    <w:rsid w:val="00BF7F70"/>
    <w:rsid w:val="00BF7FF1"/>
    <w:rsid w:val="00C04DCA"/>
    <w:rsid w:val="00C064E1"/>
    <w:rsid w:val="00C10F61"/>
    <w:rsid w:val="00C13098"/>
    <w:rsid w:val="00C20D3B"/>
    <w:rsid w:val="00C21969"/>
    <w:rsid w:val="00C21D04"/>
    <w:rsid w:val="00C232FC"/>
    <w:rsid w:val="00C24348"/>
    <w:rsid w:val="00C2592F"/>
    <w:rsid w:val="00C26E38"/>
    <w:rsid w:val="00C35EF7"/>
    <w:rsid w:val="00C37E69"/>
    <w:rsid w:val="00C42222"/>
    <w:rsid w:val="00C43478"/>
    <w:rsid w:val="00C43AAA"/>
    <w:rsid w:val="00C43C0E"/>
    <w:rsid w:val="00C45435"/>
    <w:rsid w:val="00C45C5A"/>
    <w:rsid w:val="00C5062E"/>
    <w:rsid w:val="00C52326"/>
    <w:rsid w:val="00C601BE"/>
    <w:rsid w:val="00C624FD"/>
    <w:rsid w:val="00C6261F"/>
    <w:rsid w:val="00C64DAF"/>
    <w:rsid w:val="00C660EA"/>
    <w:rsid w:val="00C721DA"/>
    <w:rsid w:val="00C8178A"/>
    <w:rsid w:val="00C82006"/>
    <w:rsid w:val="00C8568C"/>
    <w:rsid w:val="00C86EE1"/>
    <w:rsid w:val="00C92919"/>
    <w:rsid w:val="00C93E46"/>
    <w:rsid w:val="00C952D5"/>
    <w:rsid w:val="00CA05D7"/>
    <w:rsid w:val="00CA0C27"/>
    <w:rsid w:val="00CA28BD"/>
    <w:rsid w:val="00CA3186"/>
    <w:rsid w:val="00CB0777"/>
    <w:rsid w:val="00CB0EE4"/>
    <w:rsid w:val="00CB5595"/>
    <w:rsid w:val="00CB5E50"/>
    <w:rsid w:val="00CB6EA6"/>
    <w:rsid w:val="00CC05C3"/>
    <w:rsid w:val="00CC5714"/>
    <w:rsid w:val="00CC6A4E"/>
    <w:rsid w:val="00CD0CF9"/>
    <w:rsid w:val="00CD0D42"/>
    <w:rsid w:val="00CD1C15"/>
    <w:rsid w:val="00CD2668"/>
    <w:rsid w:val="00CD520D"/>
    <w:rsid w:val="00CD6F1D"/>
    <w:rsid w:val="00CE0309"/>
    <w:rsid w:val="00CE162D"/>
    <w:rsid w:val="00CE5332"/>
    <w:rsid w:val="00CE5E7F"/>
    <w:rsid w:val="00CF28B2"/>
    <w:rsid w:val="00CF4988"/>
    <w:rsid w:val="00CF72E9"/>
    <w:rsid w:val="00CF7AAD"/>
    <w:rsid w:val="00D00C79"/>
    <w:rsid w:val="00D030A5"/>
    <w:rsid w:val="00D11372"/>
    <w:rsid w:val="00D12264"/>
    <w:rsid w:val="00D149ED"/>
    <w:rsid w:val="00D21BB4"/>
    <w:rsid w:val="00D22CB3"/>
    <w:rsid w:val="00D22D7B"/>
    <w:rsid w:val="00D27ECD"/>
    <w:rsid w:val="00D30911"/>
    <w:rsid w:val="00D37320"/>
    <w:rsid w:val="00D37C0C"/>
    <w:rsid w:val="00D5464A"/>
    <w:rsid w:val="00D57301"/>
    <w:rsid w:val="00D5785F"/>
    <w:rsid w:val="00D603F3"/>
    <w:rsid w:val="00D607CF"/>
    <w:rsid w:val="00D67301"/>
    <w:rsid w:val="00D70D49"/>
    <w:rsid w:val="00D716E3"/>
    <w:rsid w:val="00D72136"/>
    <w:rsid w:val="00D80EF1"/>
    <w:rsid w:val="00D8280B"/>
    <w:rsid w:val="00D839BF"/>
    <w:rsid w:val="00D8580F"/>
    <w:rsid w:val="00D85CD3"/>
    <w:rsid w:val="00D903F2"/>
    <w:rsid w:val="00D96A3B"/>
    <w:rsid w:val="00DA0EC2"/>
    <w:rsid w:val="00DA3755"/>
    <w:rsid w:val="00DA590D"/>
    <w:rsid w:val="00DA5EC6"/>
    <w:rsid w:val="00DB0750"/>
    <w:rsid w:val="00DB167D"/>
    <w:rsid w:val="00DB234D"/>
    <w:rsid w:val="00DC4D1E"/>
    <w:rsid w:val="00DC4E33"/>
    <w:rsid w:val="00DC59E3"/>
    <w:rsid w:val="00DC661D"/>
    <w:rsid w:val="00DC79F8"/>
    <w:rsid w:val="00DD7F25"/>
    <w:rsid w:val="00DE3CE9"/>
    <w:rsid w:val="00DE627C"/>
    <w:rsid w:val="00DE7F13"/>
    <w:rsid w:val="00DF23DA"/>
    <w:rsid w:val="00DF2731"/>
    <w:rsid w:val="00DF3864"/>
    <w:rsid w:val="00E02F96"/>
    <w:rsid w:val="00E046BA"/>
    <w:rsid w:val="00E06757"/>
    <w:rsid w:val="00E12786"/>
    <w:rsid w:val="00E14D2C"/>
    <w:rsid w:val="00E16648"/>
    <w:rsid w:val="00E24695"/>
    <w:rsid w:val="00E25162"/>
    <w:rsid w:val="00E27635"/>
    <w:rsid w:val="00E33EEF"/>
    <w:rsid w:val="00E3476F"/>
    <w:rsid w:val="00E3563D"/>
    <w:rsid w:val="00E40B39"/>
    <w:rsid w:val="00E41E07"/>
    <w:rsid w:val="00E41E64"/>
    <w:rsid w:val="00E450AB"/>
    <w:rsid w:val="00E53D4E"/>
    <w:rsid w:val="00E54749"/>
    <w:rsid w:val="00E5770E"/>
    <w:rsid w:val="00E64CAA"/>
    <w:rsid w:val="00E668D6"/>
    <w:rsid w:val="00E70718"/>
    <w:rsid w:val="00E718FA"/>
    <w:rsid w:val="00E71F79"/>
    <w:rsid w:val="00E829E3"/>
    <w:rsid w:val="00E840B5"/>
    <w:rsid w:val="00E843E3"/>
    <w:rsid w:val="00E848E9"/>
    <w:rsid w:val="00E8598E"/>
    <w:rsid w:val="00E87023"/>
    <w:rsid w:val="00E87219"/>
    <w:rsid w:val="00E9655F"/>
    <w:rsid w:val="00EA6C32"/>
    <w:rsid w:val="00EB39D6"/>
    <w:rsid w:val="00EB3B81"/>
    <w:rsid w:val="00EB559B"/>
    <w:rsid w:val="00EB5B72"/>
    <w:rsid w:val="00EB652F"/>
    <w:rsid w:val="00EB6E74"/>
    <w:rsid w:val="00EC584E"/>
    <w:rsid w:val="00EC5BE0"/>
    <w:rsid w:val="00EC6912"/>
    <w:rsid w:val="00EE2D0D"/>
    <w:rsid w:val="00EE34D8"/>
    <w:rsid w:val="00EE6F2C"/>
    <w:rsid w:val="00EE7125"/>
    <w:rsid w:val="00EE7E63"/>
    <w:rsid w:val="00EF337A"/>
    <w:rsid w:val="00EF4B5D"/>
    <w:rsid w:val="00EF75A2"/>
    <w:rsid w:val="00F05FD6"/>
    <w:rsid w:val="00F12FF6"/>
    <w:rsid w:val="00F2017F"/>
    <w:rsid w:val="00F2613D"/>
    <w:rsid w:val="00F27627"/>
    <w:rsid w:val="00F27680"/>
    <w:rsid w:val="00F278C9"/>
    <w:rsid w:val="00F30ED0"/>
    <w:rsid w:val="00F33A67"/>
    <w:rsid w:val="00F3496A"/>
    <w:rsid w:val="00F357AF"/>
    <w:rsid w:val="00F358C2"/>
    <w:rsid w:val="00F35B50"/>
    <w:rsid w:val="00F35CAB"/>
    <w:rsid w:val="00F444AA"/>
    <w:rsid w:val="00F44536"/>
    <w:rsid w:val="00F46C4B"/>
    <w:rsid w:val="00F47114"/>
    <w:rsid w:val="00F471D0"/>
    <w:rsid w:val="00F47F33"/>
    <w:rsid w:val="00F53EC4"/>
    <w:rsid w:val="00F549AF"/>
    <w:rsid w:val="00F54A39"/>
    <w:rsid w:val="00F55044"/>
    <w:rsid w:val="00F56CA1"/>
    <w:rsid w:val="00F60A6C"/>
    <w:rsid w:val="00F616EB"/>
    <w:rsid w:val="00F61DE8"/>
    <w:rsid w:val="00F637CC"/>
    <w:rsid w:val="00F6554F"/>
    <w:rsid w:val="00F721D7"/>
    <w:rsid w:val="00F726C7"/>
    <w:rsid w:val="00F73B60"/>
    <w:rsid w:val="00F73F7A"/>
    <w:rsid w:val="00F7549C"/>
    <w:rsid w:val="00F763D2"/>
    <w:rsid w:val="00F767ED"/>
    <w:rsid w:val="00F865E4"/>
    <w:rsid w:val="00F9172F"/>
    <w:rsid w:val="00F965B2"/>
    <w:rsid w:val="00FA2254"/>
    <w:rsid w:val="00FB2902"/>
    <w:rsid w:val="00FB346D"/>
    <w:rsid w:val="00FC2E70"/>
    <w:rsid w:val="00FC6086"/>
    <w:rsid w:val="00FD24E8"/>
    <w:rsid w:val="00FD54DF"/>
    <w:rsid w:val="00FD6880"/>
    <w:rsid w:val="00FD6AEF"/>
    <w:rsid w:val="00FE1880"/>
    <w:rsid w:val="00FE2C2B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40DD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91"/>
  </w:style>
  <w:style w:type="paragraph" w:styleId="Footer">
    <w:name w:val="footer"/>
    <w:basedOn w:val="Normal"/>
    <w:link w:val="FooterChar"/>
    <w:uiPriority w:val="99"/>
    <w:unhideWhenUsed/>
    <w:rsid w:val="009C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91"/>
  </w:style>
  <w:style w:type="table" w:customStyle="1" w:styleId="TableGrid1">
    <w:name w:val="Table Grid1"/>
    <w:basedOn w:val="TableNormal"/>
    <w:next w:val="TableGrid"/>
    <w:uiPriority w:val="59"/>
    <w:rsid w:val="00F6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4D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D3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6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2146-3E2E-4D02-9EA1-40B14A7A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2024-03-07T19:42:00Z</dcterms:created>
  <dcterms:modified xsi:type="dcterms:W3CDTF">2024-03-07T19:45:00Z</dcterms:modified>
</cp:coreProperties>
</file>